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Pr="008308E2" w:rsidRDefault="009974F8" w:rsidP="008308E2">
      <w:pPr>
        <w:autoSpaceDE/>
        <w:autoSpaceDN/>
        <w:adjustRightInd/>
        <w:spacing w:after="0"/>
        <w:ind w:right="-330"/>
        <w:rPr>
          <w:rFonts w:cs="Arial"/>
        </w:rPr>
        <w:sectPr w:rsidR="00641054" w:rsidRPr="008308E2"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308E2">
        <w:rPr>
          <w:rFonts w:cs="Arial"/>
          <w:noProof/>
          <w:lang w:eastAsia="en-GB"/>
        </w:rPr>
        <mc:AlternateContent>
          <mc:Choice Requires="wps">
            <w:drawing>
              <wp:anchor distT="0" distB="0" distL="114300" distR="114300" simplePos="0" relativeHeight="251657728" behindDoc="0" locked="0" layoutInCell="1" allowOverlap="1" wp14:anchorId="19DBC933" wp14:editId="1FC2719C">
                <wp:simplePos x="0" y="0"/>
                <wp:positionH relativeFrom="column">
                  <wp:posOffset>-464185</wp:posOffset>
                </wp:positionH>
                <wp:positionV relativeFrom="paragraph">
                  <wp:posOffset>5765165</wp:posOffset>
                </wp:positionV>
                <wp:extent cx="7002145" cy="2209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8D" w:rsidRDefault="00EE418D" w:rsidP="0037393E">
                            <w:pPr>
                              <w:spacing w:after="0"/>
                              <w:ind w:right="-46"/>
                              <w:jc w:val="left"/>
                              <w:rPr>
                                <w:rFonts w:cs="Arial"/>
                                <w:b/>
                                <w:bCs/>
                                <w:sz w:val="52"/>
                                <w:szCs w:val="52"/>
                              </w:rPr>
                            </w:pPr>
                          </w:p>
                          <w:p w:rsidR="00EE418D" w:rsidRPr="0037393E" w:rsidRDefault="00EE418D" w:rsidP="0037393E">
                            <w:pPr>
                              <w:spacing w:after="0"/>
                              <w:ind w:right="-46"/>
                              <w:jc w:val="left"/>
                              <w:rPr>
                                <w:rFonts w:cs="Arial"/>
                                <w:b/>
                                <w:bCs/>
                                <w:sz w:val="52"/>
                                <w:szCs w:val="52"/>
                              </w:rPr>
                            </w:pPr>
                          </w:p>
                          <w:p w:rsidR="00EE418D" w:rsidRDefault="00EE418D" w:rsidP="0037393E">
                            <w:pPr>
                              <w:spacing w:after="0"/>
                              <w:ind w:right="-46"/>
                              <w:jc w:val="left"/>
                              <w:rPr>
                                <w:rFonts w:cs="Arial"/>
                                <w:b/>
                                <w:bCs/>
                                <w:sz w:val="52"/>
                                <w:szCs w:val="52"/>
                              </w:rPr>
                            </w:pPr>
                            <w:r>
                              <w:rPr>
                                <w:rFonts w:cs="Arial"/>
                                <w:b/>
                                <w:bCs/>
                                <w:sz w:val="52"/>
                                <w:szCs w:val="52"/>
                              </w:rPr>
                              <w:t>Money Matters</w:t>
                            </w:r>
                          </w:p>
                          <w:p w:rsidR="00EE418D" w:rsidRPr="0035497C" w:rsidRDefault="00EE418D" w:rsidP="0035497C">
                            <w:pPr>
                              <w:rPr>
                                <w:sz w:val="52"/>
                                <w:szCs w:val="52"/>
                              </w:rPr>
                            </w:pPr>
                            <w:r w:rsidRPr="0035497C">
                              <w:rPr>
                                <w:b/>
                                <w:sz w:val="52"/>
                                <w:szCs w:val="52"/>
                              </w:rPr>
                              <w:t>The County Council`s Capital Programme for 2016/17 and Beyond</w:t>
                            </w:r>
                          </w:p>
                          <w:p w:rsidR="00EE418D" w:rsidRDefault="00EE418D" w:rsidP="0037393E">
                            <w:pPr>
                              <w:spacing w:after="0"/>
                              <w:ind w:right="-46"/>
                              <w:jc w:val="left"/>
                              <w:rPr>
                                <w:rFonts w:cs="Arial"/>
                                <w:b/>
                                <w:bCs/>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C933" id="_x0000_t202" coordsize="21600,21600" o:spt="202" path="m,l,21600r21600,l21600,xe">
                <v:stroke joinstyle="miter"/>
                <v:path gradientshapeok="t" o:connecttype="rect"/>
              </v:shapetype>
              <v:shape id="Text Box 4" o:spid="_x0000_s1026" type="#_x0000_t202" style="position:absolute;left:0;text-align:left;margin-left:-36.55pt;margin-top:453.95pt;width:551.35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5huAIAALo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" filled="f" stroked="f">
                <v:textbox>
                  <w:txbxContent>
                    <w:p w:rsidR="00EE418D" w:rsidRDefault="00EE418D" w:rsidP="0037393E">
                      <w:pPr>
                        <w:spacing w:after="0"/>
                        <w:ind w:right="-46"/>
                        <w:jc w:val="left"/>
                        <w:rPr>
                          <w:rFonts w:cs="Arial"/>
                          <w:b/>
                          <w:bCs/>
                          <w:sz w:val="52"/>
                          <w:szCs w:val="52"/>
                        </w:rPr>
                      </w:pPr>
                    </w:p>
                    <w:p w:rsidR="00EE418D" w:rsidRPr="0037393E" w:rsidRDefault="00EE418D" w:rsidP="0037393E">
                      <w:pPr>
                        <w:spacing w:after="0"/>
                        <w:ind w:right="-46"/>
                        <w:jc w:val="left"/>
                        <w:rPr>
                          <w:rFonts w:cs="Arial"/>
                          <w:b/>
                          <w:bCs/>
                          <w:sz w:val="52"/>
                          <w:szCs w:val="52"/>
                        </w:rPr>
                      </w:pPr>
                    </w:p>
                    <w:p w:rsidR="00EE418D" w:rsidRDefault="00EE418D" w:rsidP="0037393E">
                      <w:pPr>
                        <w:spacing w:after="0"/>
                        <w:ind w:right="-46"/>
                        <w:jc w:val="left"/>
                        <w:rPr>
                          <w:rFonts w:cs="Arial"/>
                          <w:b/>
                          <w:bCs/>
                          <w:sz w:val="52"/>
                          <w:szCs w:val="52"/>
                        </w:rPr>
                      </w:pPr>
                      <w:r>
                        <w:rPr>
                          <w:rFonts w:cs="Arial"/>
                          <w:b/>
                          <w:bCs/>
                          <w:sz w:val="52"/>
                          <w:szCs w:val="52"/>
                        </w:rPr>
                        <w:t>Money Matters</w:t>
                      </w:r>
                    </w:p>
                    <w:p w:rsidR="00EE418D" w:rsidRPr="0035497C" w:rsidRDefault="00EE418D" w:rsidP="0035497C">
                      <w:pPr>
                        <w:rPr>
                          <w:sz w:val="52"/>
                          <w:szCs w:val="52"/>
                        </w:rPr>
                      </w:pPr>
                      <w:r w:rsidRPr="0035497C">
                        <w:rPr>
                          <w:b/>
                          <w:sz w:val="52"/>
                          <w:szCs w:val="52"/>
                        </w:rPr>
                        <w:t>The County Council`s Capital Programme for 2016/17 and Beyond</w:t>
                      </w:r>
                    </w:p>
                    <w:p w:rsidR="00EE418D" w:rsidRDefault="00EE418D" w:rsidP="0037393E">
                      <w:pPr>
                        <w:spacing w:after="0"/>
                        <w:ind w:right="-46"/>
                        <w:jc w:val="left"/>
                        <w:rPr>
                          <w:rFonts w:cs="Arial"/>
                          <w:b/>
                          <w:bCs/>
                          <w:sz w:val="52"/>
                          <w:szCs w:val="52"/>
                        </w:rPr>
                      </w:pPr>
                    </w:p>
                  </w:txbxContent>
                </v:textbox>
              </v:shape>
            </w:pict>
          </mc:Fallback>
        </mc:AlternateContent>
      </w:r>
    </w:p>
    <w:tbl>
      <w:tblPr>
        <w:tblStyle w:val="TableGrid"/>
        <w:tblW w:w="0" w:type="auto"/>
        <w:jc w:val="center"/>
        <w:tblLook w:val="04A0" w:firstRow="1" w:lastRow="0" w:firstColumn="1" w:lastColumn="0" w:noHBand="0" w:noVBand="1"/>
      </w:tblPr>
      <w:tblGrid>
        <w:gridCol w:w="6705"/>
        <w:gridCol w:w="2311"/>
      </w:tblGrid>
      <w:tr w:rsidR="00A31B9F" w:rsidTr="00FC66D8">
        <w:trPr>
          <w:jc w:val="center"/>
        </w:trPr>
        <w:tc>
          <w:tcPr>
            <w:tcW w:w="6705" w:type="dxa"/>
          </w:tcPr>
          <w:p w:rsidR="00A31B9F" w:rsidRDefault="00A31B9F" w:rsidP="00F32527">
            <w:pPr>
              <w:spacing w:after="0"/>
              <w:ind w:right="-46"/>
              <w:jc w:val="center"/>
              <w:rPr>
                <w:rFonts w:cs="Arial"/>
                <w:b/>
                <w:bCs/>
                <w:sz w:val="26"/>
                <w:szCs w:val="26"/>
              </w:rPr>
            </w:pPr>
          </w:p>
          <w:p w:rsidR="00A31B9F" w:rsidRPr="00E775EA" w:rsidRDefault="00A31B9F" w:rsidP="00F32527">
            <w:pPr>
              <w:spacing w:after="0"/>
              <w:ind w:right="-46"/>
              <w:jc w:val="center"/>
              <w:rPr>
                <w:rFonts w:cs="Arial"/>
                <w:b/>
                <w:bCs/>
                <w:sz w:val="26"/>
                <w:szCs w:val="26"/>
              </w:rPr>
            </w:pPr>
            <w:r w:rsidRPr="00E775EA">
              <w:rPr>
                <w:rFonts w:cs="Arial"/>
                <w:b/>
                <w:bCs/>
                <w:sz w:val="26"/>
                <w:szCs w:val="26"/>
              </w:rPr>
              <w:t>Contents</w:t>
            </w:r>
          </w:p>
          <w:p w:rsidR="00A31B9F" w:rsidRPr="00E775EA" w:rsidRDefault="00A31B9F" w:rsidP="00F32527">
            <w:pPr>
              <w:spacing w:after="0"/>
              <w:ind w:right="-46"/>
              <w:jc w:val="center"/>
              <w:rPr>
                <w:rFonts w:cs="Arial"/>
                <w:b/>
                <w:bCs/>
                <w:sz w:val="26"/>
                <w:szCs w:val="26"/>
              </w:rPr>
            </w:pPr>
          </w:p>
        </w:tc>
        <w:tc>
          <w:tcPr>
            <w:tcW w:w="2311" w:type="dxa"/>
          </w:tcPr>
          <w:p w:rsidR="00A31B9F" w:rsidRDefault="00A31B9F" w:rsidP="00F32527">
            <w:pPr>
              <w:spacing w:after="0"/>
              <w:ind w:right="-46"/>
              <w:jc w:val="center"/>
              <w:rPr>
                <w:rFonts w:cs="Arial"/>
                <w:b/>
                <w:bCs/>
                <w:sz w:val="26"/>
                <w:szCs w:val="26"/>
              </w:rPr>
            </w:pPr>
          </w:p>
          <w:p w:rsidR="00A31B9F" w:rsidRPr="00E775EA" w:rsidRDefault="00A31B9F" w:rsidP="00F32527">
            <w:pPr>
              <w:spacing w:after="0"/>
              <w:ind w:right="-46"/>
              <w:jc w:val="center"/>
              <w:rPr>
                <w:rFonts w:cs="Arial"/>
                <w:b/>
                <w:bCs/>
                <w:sz w:val="26"/>
                <w:szCs w:val="26"/>
              </w:rPr>
            </w:pPr>
            <w:r w:rsidRPr="00E775EA">
              <w:rPr>
                <w:rFonts w:cs="Arial"/>
                <w:b/>
                <w:bCs/>
                <w:sz w:val="26"/>
                <w:szCs w:val="26"/>
              </w:rPr>
              <w:t>Page</w:t>
            </w:r>
          </w:p>
        </w:tc>
      </w:tr>
      <w:tr w:rsidR="00A31B9F" w:rsidTr="00FC66D8">
        <w:trPr>
          <w:jc w:val="center"/>
        </w:trPr>
        <w:tc>
          <w:tcPr>
            <w:tcW w:w="6705" w:type="dxa"/>
          </w:tcPr>
          <w:p w:rsidR="00A31B9F" w:rsidRDefault="00A31B9F" w:rsidP="00F32527">
            <w:pPr>
              <w:tabs>
                <w:tab w:val="left" w:pos="738"/>
                <w:tab w:val="left" w:pos="880"/>
                <w:tab w:val="left" w:pos="1777"/>
              </w:tabs>
              <w:spacing w:after="0"/>
              <w:ind w:right="-46"/>
              <w:rPr>
                <w:rFonts w:cs="Arial"/>
                <w:b/>
                <w:bCs/>
              </w:rPr>
            </w:pPr>
          </w:p>
          <w:p w:rsidR="004532BC" w:rsidRDefault="004532BC" w:rsidP="00F32527">
            <w:pPr>
              <w:tabs>
                <w:tab w:val="left" w:pos="738"/>
                <w:tab w:val="left" w:pos="880"/>
                <w:tab w:val="left" w:pos="1777"/>
              </w:tabs>
              <w:spacing w:after="0"/>
              <w:ind w:right="-46"/>
              <w:rPr>
                <w:rFonts w:cs="Arial"/>
                <w:b/>
                <w:bCs/>
              </w:rPr>
            </w:pPr>
            <w:r>
              <w:rPr>
                <w:rFonts w:cs="Arial"/>
                <w:b/>
                <w:bCs/>
              </w:rPr>
              <w:t>1.</w:t>
            </w:r>
            <w:r>
              <w:rPr>
                <w:rFonts w:cs="Arial"/>
                <w:b/>
                <w:bCs/>
              </w:rPr>
              <w:tab/>
              <w:t>Introduction</w:t>
            </w:r>
          </w:p>
          <w:p w:rsidR="004532BC" w:rsidRPr="0071029A" w:rsidRDefault="004532BC" w:rsidP="00F32527">
            <w:pPr>
              <w:tabs>
                <w:tab w:val="left" w:pos="738"/>
                <w:tab w:val="left" w:pos="880"/>
                <w:tab w:val="left" w:pos="1777"/>
              </w:tabs>
              <w:spacing w:after="0"/>
              <w:ind w:right="-46"/>
              <w:rPr>
                <w:rFonts w:cs="Arial"/>
                <w:b/>
                <w:bCs/>
              </w:rPr>
            </w:pPr>
          </w:p>
        </w:tc>
        <w:tc>
          <w:tcPr>
            <w:tcW w:w="2311" w:type="dxa"/>
            <w:vAlign w:val="center"/>
          </w:tcPr>
          <w:p w:rsidR="00FC66D8" w:rsidRPr="0071029A" w:rsidRDefault="00FC66D8" w:rsidP="00FC66D8">
            <w:pPr>
              <w:spacing w:after="0"/>
              <w:ind w:right="-46"/>
              <w:jc w:val="center"/>
              <w:rPr>
                <w:rFonts w:cs="Arial"/>
                <w:b/>
                <w:bCs/>
              </w:rPr>
            </w:pPr>
            <w:r>
              <w:rPr>
                <w:rFonts w:cs="Arial"/>
                <w:b/>
                <w:bCs/>
              </w:rPr>
              <w:t>3</w:t>
            </w:r>
          </w:p>
        </w:tc>
      </w:tr>
      <w:tr w:rsidR="00A31B9F" w:rsidTr="00FC66D8">
        <w:trPr>
          <w:jc w:val="center"/>
        </w:trPr>
        <w:tc>
          <w:tcPr>
            <w:tcW w:w="6705" w:type="dxa"/>
          </w:tcPr>
          <w:p w:rsidR="00A31B9F" w:rsidRDefault="00A31B9F" w:rsidP="00F32527">
            <w:pPr>
              <w:tabs>
                <w:tab w:val="left" w:pos="738"/>
                <w:tab w:val="left" w:pos="1387"/>
                <w:tab w:val="left" w:pos="1762"/>
              </w:tabs>
              <w:spacing w:after="0"/>
              <w:ind w:right="-46"/>
              <w:rPr>
                <w:rFonts w:cs="Arial"/>
                <w:b/>
                <w:bCs/>
              </w:rPr>
            </w:pPr>
          </w:p>
          <w:p w:rsidR="004532BC" w:rsidRDefault="004532BC" w:rsidP="00F32527">
            <w:pPr>
              <w:tabs>
                <w:tab w:val="left" w:pos="738"/>
                <w:tab w:val="left" w:pos="1387"/>
                <w:tab w:val="left" w:pos="1762"/>
              </w:tabs>
              <w:spacing w:after="0"/>
              <w:ind w:right="-46"/>
              <w:rPr>
                <w:rFonts w:cs="Arial"/>
                <w:b/>
                <w:bCs/>
              </w:rPr>
            </w:pPr>
            <w:r>
              <w:rPr>
                <w:rFonts w:cs="Arial"/>
                <w:b/>
                <w:bCs/>
              </w:rPr>
              <w:t>2.</w:t>
            </w:r>
            <w:r>
              <w:rPr>
                <w:rFonts w:cs="Arial"/>
                <w:b/>
                <w:bCs/>
              </w:rPr>
              <w:tab/>
            </w:r>
            <w:r w:rsidR="00157EBA">
              <w:rPr>
                <w:rFonts w:cs="Arial"/>
                <w:b/>
                <w:bCs/>
              </w:rPr>
              <w:t>The 2015/16 Capital Programme</w:t>
            </w:r>
          </w:p>
          <w:p w:rsidR="004532BC" w:rsidRPr="0071029A" w:rsidRDefault="004532BC" w:rsidP="00F32527">
            <w:pPr>
              <w:tabs>
                <w:tab w:val="left" w:pos="738"/>
                <w:tab w:val="left" w:pos="1387"/>
                <w:tab w:val="left" w:pos="1762"/>
              </w:tabs>
              <w:spacing w:after="0"/>
              <w:ind w:right="-46"/>
              <w:rPr>
                <w:rFonts w:cs="Arial"/>
                <w:b/>
                <w:bCs/>
              </w:rPr>
            </w:pPr>
          </w:p>
        </w:tc>
        <w:tc>
          <w:tcPr>
            <w:tcW w:w="2311" w:type="dxa"/>
            <w:vAlign w:val="center"/>
          </w:tcPr>
          <w:p w:rsidR="004E2AC4" w:rsidRPr="0071029A" w:rsidRDefault="002012C2" w:rsidP="00F32527">
            <w:pPr>
              <w:spacing w:after="0"/>
              <w:ind w:right="-46"/>
              <w:jc w:val="center"/>
              <w:rPr>
                <w:rFonts w:cs="Arial"/>
                <w:b/>
                <w:bCs/>
              </w:rPr>
            </w:pPr>
            <w:r>
              <w:rPr>
                <w:rFonts w:cs="Arial"/>
                <w:b/>
                <w:bCs/>
              </w:rPr>
              <w:t>3</w:t>
            </w:r>
          </w:p>
        </w:tc>
      </w:tr>
      <w:tr w:rsidR="00A31B9F" w:rsidTr="00FC66D8">
        <w:trPr>
          <w:jc w:val="center"/>
        </w:trPr>
        <w:tc>
          <w:tcPr>
            <w:tcW w:w="6705" w:type="dxa"/>
          </w:tcPr>
          <w:p w:rsidR="00A31B9F" w:rsidRDefault="00A31B9F" w:rsidP="00F32527">
            <w:pPr>
              <w:tabs>
                <w:tab w:val="left" w:pos="738"/>
                <w:tab w:val="left" w:pos="1387"/>
                <w:tab w:val="left" w:pos="1762"/>
                <w:tab w:val="left" w:pos="1872"/>
              </w:tabs>
              <w:spacing w:after="0"/>
              <w:ind w:right="-46"/>
              <w:rPr>
                <w:rFonts w:cs="Arial"/>
                <w:b/>
                <w:bCs/>
              </w:rPr>
            </w:pPr>
          </w:p>
          <w:p w:rsidR="004532BC" w:rsidRDefault="004532BC" w:rsidP="00F32527">
            <w:pPr>
              <w:tabs>
                <w:tab w:val="left" w:pos="738"/>
                <w:tab w:val="left" w:pos="1387"/>
                <w:tab w:val="left" w:pos="1762"/>
                <w:tab w:val="left" w:pos="1872"/>
              </w:tabs>
              <w:spacing w:after="0"/>
              <w:ind w:right="-46"/>
              <w:rPr>
                <w:rFonts w:cs="Arial"/>
                <w:b/>
                <w:bCs/>
              </w:rPr>
            </w:pPr>
            <w:r>
              <w:rPr>
                <w:rFonts w:cs="Arial"/>
                <w:b/>
                <w:bCs/>
              </w:rPr>
              <w:t>3.</w:t>
            </w:r>
            <w:r>
              <w:rPr>
                <w:rFonts w:cs="Arial"/>
                <w:b/>
                <w:bCs/>
              </w:rPr>
              <w:tab/>
            </w:r>
            <w:r w:rsidR="00157EBA">
              <w:rPr>
                <w:rFonts w:cs="Arial"/>
                <w:b/>
                <w:bCs/>
              </w:rPr>
              <w:t>Quarter 2 Capital Programme Financial Position</w:t>
            </w:r>
          </w:p>
          <w:p w:rsidR="004532BC" w:rsidRPr="0071029A" w:rsidRDefault="004532BC" w:rsidP="00F32527">
            <w:pPr>
              <w:tabs>
                <w:tab w:val="left" w:pos="738"/>
                <w:tab w:val="left" w:pos="1387"/>
                <w:tab w:val="left" w:pos="1762"/>
                <w:tab w:val="left" w:pos="1872"/>
              </w:tabs>
              <w:spacing w:after="0"/>
              <w:ind w:right="-46"/>
              <w:rPr>
                <w:rFonts w:cs="Arial"/>
                <w:b/>
                <w:bCs/>
              </w:rPr>
            </w:pPr>
          </w:p>
        </w:tc>
        <w:tc>
          <w:tcPr>
            <w:tcW w:w="2311" w:type="dxa"/>
            <w:vAlign w:val="center"/>
          </w:tcPr>
          <w:p w:rsidR="004E2AC4" w:rsidRPr="0071029A" w:rsidRDefault="002012C2" w:rsidP="00F32527">
            <w:pPr>
              <w:spacing w:after="0"/>
              <w:ind w:right="-46"/>
              <w:jc w:val="center"/>
              <w:rPr>
                <w:rFonts w:cs="Arial"/>
                <w:b/>
                <w:bCs/>
              </w:rPr>
            </w:pPr>
            <w:r>
              <w:rPr>
                <w:rFonts w:cs="Arial"/>
                <w:b/>
                <w:bCs/>
              </w:rPr>
              <w:t>4</w:t>
            </w:r>
          </w:p>
        </w:tc>
      </w:tr>
      <w:tr w:rsidR="00426D32" w:rsidTr="00FC66D8">
        <w:trPr>
          <w:jc w:val="center"/>
        </w:trPr>
        <w:tc>
          <w:tcPr>
            <w:tcW w:w="6705" w:type="dxa"/>
          </w:tcPr>
          <w:p w:rsidR="00426D32" w:rsidRDefault="00426D32" w:rsidP="00F32527">
            <w:pPr>
              <w:tabs>
                <w:tab w:val="left" w:pos="738"/>
                <w:tab w:val="left" w:pos="1387"/>
                <w:tab w:val="left" w:pos="1762"/>
                <w:tab w:val="left" w:pos="1872"/>
              </w:tabs>
              <w:spacing w:after="0"/>
              <w:ind w:right="-46"/>
              <w:rPr>
                <w:rFonts w:cs="Arial"/>
                <w:b/>
                <w:bCs/>
              </w:rPr>
            </w:pPr>
          </w:p>
          <w:p w:rsidR="00426D32" w:rsidRDefault="00426D32" w:rsidP="00157EBA">
            <w:pPr>
              <w:tabs>
                <w:tab w:val="left" w:pos="738"/>
                <w:tab w:val="left" w:pos="1387"/>
                <w:tab w:val="left" w:pos="1762"/>
                <w:tab w:val="left" w:pos="1872"/>
              </w:tabs>
              <w:spacing w:after="0"/>
              <w:ind w:right="-46"/>
              <w:rPr>
                <w:rFonts w:cs="Arial"/>
                <w:b/>
                <w:bCs/>
              </w:rPr>
            </w:pPr>
            <w:r>
              <w:rPr>
                <w:rFonts w:cs="Arial"/>
                <w:b/>
                <w:bCs/>
              </w:rPr>
              <w:t>4.</w:t>
            </w:r>
            <w:r>
              <w:rPr>
                <w:rFonts w:cs="Arial"/>
                <w:b/>
                <w:bCs/>
              </w:rPr>
              <w:tab/>
            </w:r>
            <w:r w:rsidR="00157EBA">
              <w:rPr>
                <w:rFonts w:cs="Arial"/>
                <w:b/>
                <w:bCs/>
              </w:rPr>
              <w:t>Provisional Capital Programme for 2016/17-2018/19</w:t>
            </w:r>
          </w:p>
          <w:p w:rsidR="00157EBA" w:rsidRDefault="00157EBA" w:rsidP="00157EBA">
            <w:pPr>
              <w:tabs>
                <w:tab w:val="left" w:pos="738"/>
                <w:tab w:val="left" w:pos="1387"/>
                <w:tab w:val="left" w:pos="1762"/>
                <w:tab w:val="left" w:pos="1872"/>
              </w:tabs>
              <w:spacing w:after="0"/>
              <w:ind w:right="-46"/>
              <w:rPr>
                <w:rFonts w:cs="Arial"/>
                <w:b/>
                <w:bCs/>
              </w:rPr>
            </w:pPr>
          </w:p>
        </w:tc>
        <w:tc>
          <w:tcPr>
            <w:tcW w:w="2311" w:type="dxa"/>
            <w:vAlign w:val="center"/>
          </w:tcPr>
          <w:p w:rsidR="004E2AC4" w:rsidRDefault="005F13BF" w:rsidP="00F32527">
            <w:pPr>
              <w:spacing w:after="0"/>
              <w:ind w:right="-46"/>
              <w:jc w:val="center"/>
              <w:rPr>
                <w:rFonts w:cs="Arial"/>
                <w:b/>
                <w:bCs/>
              </w:rPr>
            </w:pPr>
            <w:r>
              <w:rPr>
                <w:rFonts w:cs="Arial"/>
                <w:b/>
                <w:bCs/>
              </w:rPr>
              <w:t>7</w:t>
            </w:r>
          </w:p>
        </w:tc>
      </w:tr>
      <w:tr w:rsidR="00AF109C" w:rsidTr="00FC66D8">
        <w:trPr>
          <w:jc w:val="center"/>
        </w:trPr>
        <w:tc>
          <w:tcPr>
            <w:tcW w:w="6705" w:type="dxa"/>
          </w:tcPr>
          <w:p w:rsidR="00AF109C" w:rsidRDefault="00AF109C" w:rsidP="00AF109C">
            <w:pPr>
              <w:tabs>
                <w:tab w:val="left" w:pos="738"/>
                <w:tab w:val="left" w:pos="1387"/>
                <w:tab w:val="left" w:pos="1762"/>
                <w:tab w:val="left" w:pos="1872"/>
              </w:tabs>
              <w:spacing w:after="0"/>
              <w:ind w:right="-46"/>
              <w:rPr>
                <w:rFonts w:cs="Arial"/>
                <w:b/>
                <w:bCs/>
              </w:rPr>
            </w:pPr>
          </w:p>
          <w:p w:rsidR="00AF109C" w:rsidRDefault="00AF109C" w:rsidP="00AF109C">
            <w:pPr>
              <w:tabs>
                <w:tab w:val="left" w:pos="738"/>
                <w:tab w:val="left" w:pos="1387"/>
                <w:tab w:val="left" w:pos="1762"/>
                <w:tab w:val="left" w:pos="1872"/>
              </w:tabs>
              <w:spacing w:after="0"/>
              <w:ind w:right="-46"/>
              <w:rPr>
                <w:rFonts w:cs="Arial"/>
                <w:b/>
                <w:bCs/>
              </w:rPr>
            </w:pPr>
            <w:r>
              <w:rPr>
                <w:rFonts w:cs="Arial"/>
                <w:b/>
                <w:bCs/>
              </w:rPr>
              <w:t>5.</w:t>
            </w:r>
            <w:r>
              <w:rPr>
                <w:rFonts w:cs="Arial"/>
                <w:b/>
                <w:bCs/>
              </w:rPr>
              <w:tab/>
            </w:r>
            <w:r w:rsidR="00157EBA">
              <w:rPr>
                <w:rFonts w:cs="Arial"/>
                <w:b/>
                <w:bCs/>
              </w:rPr>
              <w:t>Funding Implications</w:t>
            </w:r>
          </w:p>
          <w:p w:rsidR="00AF109C" w:rsidRDefault="00AF109C" w:rsidP="00AF109C">
            <w:pPr>
              <w:tabs>
                <w:tab w:val="left" w:pos="738"/>
                <w:tab w:val="left" w:pos="1387"/>
                <w:tab w:val="left" w:pos="1762"/>
                <w:tab w:val="left" w:pos="1872"/>
              </w:tabs>
              <w:spacing w:after="0"/>
              <w:ind w:right="-46"/>
              <w:rPr>
                <w:rFonts w:cs="Arial"/>
                <w:b/>
                <w:bCs/>
              </w:rPr>
            </w:pPr>
          </w:p>
        </w:tc>
        <w:tc>
          <w:tcPr>
            <w:tcW w:w="2311" w:type="dxa"/>
            <w:vAlign w:val="center"/>
          </w:tcPr>
          <w:p w:rsidR="00AF109C" w:rsidRDefault="003A68E3" w:rsidP="00AF109C">
            <w:pPr>
              <w:spacing w:after="0"/>
              <w:ind w:right="-46"/>
              <w:jc w:val="center"/>
              <w:rPr>
                <w:rFonts w:cs="Arial"/>
                <w:b/>
                <w:bCs/>
              </w:rPr>
            </w:pPr>
            <w:r>
              <w:rPr>
                <w:rFonts w:cs="Arial"/>
                <w:b/>
                <w:bCs/>
              </w:rPr>
              <w:t>9</w:t>
            </w:r>
          </w:p>
        </w:tc>
      </w:tr>
      <w:tr w:rsidR="005C0601" w:rsidTr="00FC66D8">
        <w:trPr>
          <w:jc w:val="center"/>
        </w:trPr>
        <w:tc>
          <w:tcPr>
            <w:tcW w:w="6705" w:type="dxa"/>
          </w:tcPr>
          <w:p w:rsidR="006A6ADE" w:rsidRDefault="006A6ADE" w:rsidP="00F32527">
            <w:pPr>
              <w:tabs>
                <w:tab w:val="left" w:pos="738"/>
                <w:tab w:val="left" w:pos="1387"/>
                <w:tab w:val="left" w:pos="1762"/>
                <w:tab w:val="left" w:pos="1872"/>
              </w:tabs>
              <w:spacing w:after="0"/>
              <w:ind w:right="-46"/>
              <w:rPr>
                <w:rFonts w:cs="Arial"/>
                <w:b/>
                <w:bCs/>
              </w:rPr>
            </w:pPr>
          </w:p>
          <w:p w:rsidR="005C0601" w:rsidRDefault="005C0601" w:rsidP="00F32527">
            <w:pPr>
              <w:tabs>
                <w:tab w:val="left" w:pos="738"/>
                <w:tab w:val="left" w:pos="1387"/>
                <w:tab w:val="left" w:pos="1762"/>
                <w:tab w:val="left" w:pos="1872"/>
              </w:tabs>
              <w:spacing w:after="0"/>
              <w:ind w:right="-46"/>
              <w:rPr>
                <w:rFonts w:cs="Arial"/>
                <w:b/>
                <w:bCs/>
              </w:rPr>
            </w:pPr>
            <w:r>
              <w:rPr>
                <w:rFonts w:cs="Arial"/>
                <w:b/>
                <w:bCs/>
              </w:rPr>
              <w:t>6.        Capital receipts</w:t>
            </w:r>
          </w:p>
          <w:p w:rsidR="005C0601" w:rsidRDefault="005C0601" w:rsidP="00F32527">
            <w:pPr>
              <w:tabs>
                <w:tab w:val="left" w:pos="738"/>
                <w:tab w:val="left" w:pos="1387"/>
                <w:tab w:val="left" w:pos="1762"/>
                <w:tab w:val="left" w:pos="1872"/>
              </w:tabs>
              <w:spacing w:after="0"/>
              <w:ind w:right="-46"/>
              <w:rPr>
                <w:rFonts w:cs="Arial"/>
                <w:b/>
                <w:bCs/>
              </w:rPr>
            </w:pPr>
          </w:p>
        </w:tc>
        <w:tc>
          <w:tcPr>
            <w:tcW w:w="2311" w:type="dxa"/>
            <w:vAlign w:val="center"/>
          </w:tcPr>
          <w:p w:rsidR="005C0601" w:rsidRDefault="005C0601" w:rsidP="00F32527">
            <w:pPr>
              <w:spacing w:after="0"/>
              <w:ind w:right="-46"/>
              <w:jc w:val="center"/>
              <w:rPr>
                <w:rFonts w:cs="Arial"/>
                <w:b/>
                <w:bCs/>
              </w:rPr>
            </w:pPr>
            <w:r>
              <w:rPr>
                <w:rFonts w:cs="Arial"/>
                <w:b/>
                <w:bCs/>
              </w:rPr>
              <w:t>10</w:t>
            </w:r>
          </w:p>
        </w:tc>
      </w:tr>
      <w:tr w:rsidR="005C0601" w:rsidTr="00FC66D8">
        <w:trPr>
          <w:jc w:val="center"/>
        </w:trPr>
        <w:tc>
          <w:tcPr>
            <w:tcW w:w="6705" w:type="dxa"/>
          </w:tcPr>
          <w:p w:rsidR="006A6ADE" w:rsidRDefault="006A6ADE" w:rsidP="00F32527">
            <w:pPr>
              <w:tabs>
                <w:tab w:val="left" w:pos="738"/>
                <w:tab w:val="left" w:pos="1387"/>
                <w:tab w:val="left" w:pos="1762"/>
                <w:tab w:val="left" w:pos="1872"/>
              </w:tabs>
              <w:spacing w:after="0"/>
              <w:ind w:right="-46"/>
              <w:rPr>
                <w:rFonts w:cs="Arial"/>
                <w:b/>
                <w:bCs/>
              </w:rPr>
            </w:pPr>
          </w:p>
          <w:p w:rsidR="005C0601" w:rsidRDefault="005C0601" w:rsidP="00F32527">
            <w:pPr>
              <w:tabs>
                <w:tab w:val="left" w:pos="738"/>
                <w:tab w:val="left" w:pos="1387"/>
                <w:tab w:val="left" w:pos="1762"/>
                <w:tab w:val="left" w:pos="1872"/>
              </w:tabs>
              <w:spacing w:after="0"/>
              <w:ind w:right="-46"/>
              <w:rPr>
                <w:rFonts w:cs="Arial"/>
                <w:b/>
                <w:bCs/>
              </w:rPr>
            </w:pPr>
            <w:r>
              <w:rPr>
                <w:rFonts w:cs="Arial"/>
                <w:b/>
                <w:bCs/>
              </w:rPr>
              <w:t>7.        Proposed Funding</w:t>
            </w:r>
          </w:p>
          <w:p w:rsidR="005C0601" w:rsidRDefault="005C0601" w:rsidP="00F32527">
            <w:pPr>
              <w:tabs>
                <w:tab w:val="left" w:pos="738"/>
                <w:tab w:val="left" w:pos="1387"/>
                <w:tab w:val="left" w:pos="1762"/>
                <w:tab w:val="left" w:pos="1872"/>
              </w:tabs>
              <w:spacing w:after="0"/>
              <w:ind w:right="-46"/>
              <w:rPr>
                <w:rFonts w:cs="Arial"/>
                <w:b/>
                <w:bCs/>
              </w:rPr>
            </w:pPr>
          </w:p>
        </w:tc>
        <w:tc>
          <w:tcPr>
            <w:tcW w:w="2311" w:type="dxa"/>
            <w:vAlign w:val="center"/>
          </w:tcPr>
          <w:p w:rsidR="005C0601" w:rsidRDefault="005C0601" w:rsidP="00F32527">
            <w:pPr>
              <w:spacing w:after="0"/>
              <w:ind w:right="-46"/>
              <w:jc w:val="center"/>
              <w:rPr>
                <w:rFonts w:cs="Arial"/>
                <w:b/>
                <w:bCs/>
              </w:rPr>
            </w:pPr>
            <w:r>
              <w:rPr>
                <w:rFonts w:cs="Arial"/>
                <w:b/>
                <w:bCs/>
              </w:rPr>
              <w:t>10</w:t>
            </w:r>
          </w:p>
        </w:tc>
      </w:tr>
      <w:tr w:rsidR="00297702" w:rsidTr="00FC66D8">
        <w:trPr>
          <w:jc w:val="center"/>
        </w:trPr>
        <w:tc>
          <w:tcPr>
            <w:tcW w:w="6705" w:type="dxa"/>
          </w:tcPr>
          <w:p w:rsidR="00297702" w:rsidRDefault="00297702" w:rsidP="00F32527">
            <w:pPr>
              <w:tabs>
                <w:tab w:val="left" w:pos="738"/>
                <w:tab w:val="left" w:pos="1387"/>
                <w:tab w:val="left" w:pos="1762"/>
                <w:tab w:val="left" w:pos="1872"/>
              </w:tabs>
              <w:spacing w:after="0"/>
              <w:ind w:right="-46"/>
              <w:rPr>
                <w:rFonts w:cs="Arial"/>
                <w:b/>
                <w:bCs/>
              </w:rPr>
            </w:pPr>
          </w:p>
          <w:p w:rsidR="00297702" w:rsidRDefault="005C0601" w:rsidP="00F32527">
            <w:pPr>
              <w:tabs>
                <w:tab w:val="left" w:pos="738"/>
                <w:tab w:val="left" w:pos="1387"/>
                <w:tab w:val="left" w:pos="1762"/>
                <w:tab w:val="left" w:pos="1872"/>
              </w:tabs>
              <w:spacing w:after="0"/>
              <w:ind w:right="-46"/>
              <w:rPr>
                <w:rFonts w:cs="Arial"/>
                <w:b/>
                <w:bCs/>
              </w:rPr>
            </w:pPr>
            <w:r>
              <w:rPr>
                <w:rFonts w:cs="Arial"/>
                <w:b/>
                <w:bCs/>
              </w:rPr>
              <w:t>8</w:t>
            </w:r>
            <w:r w:rsidR="00297702">
              <w:rPr>
                <w:rFonts w:cs="Arial"/>
                <w:b/>
                <w:bCs/>
              </w:rPr>
              <w:t>.</w:t>
            </w:r>
            <w:r w:rsidR="00297702">
              <w:rPr>
                <w:rFonts w:cs="Arial"/>
                <w:b/>
                <w:bCs/>
              </w:rPr>
              <w:tab/>
            </w:r>
            <w:r w:rsidR="00157EBA">
              <w:rPr>
                <w:rFonts w:cs="Arial"/>
                <w:b/>
                <w:bCs/>
              </w:rPr>
              <w:t>Risks, important issues and funding pressures</w:t>
            </w:r>
          </w:p>
          <w:p w:rsidR="00297702" w:rsidRDefault="00297702" w:rsidP="00F32527">
            <w:pPr>
              <w:tabs>
                <w:tab w:val="left" w:pos="738"/>
                <w:tab w:val="left" w:pos="1387"/>
                <w:tab w:val="left" w:pos="1762"/>
                <w:tab w:val="left" w:pos="1872"/>
              </w:tabs>
              <w:spacing w:after="0"/>
              <w:ind w:right="-46"/>
              <w:rPr>
                <w:rFonts w:cs="Arial"/>
                <w:b/>
                <w:bCs/>
              </w:rPr>
            </w:pPr>
          </w:p>
        </w:tc>
        <w:tc>
          <w:tcPr>
            <w:tcW w:w="2311" w:type="dxa"/>
            <w:vAlign w:val="center"/>
          </w:tcPr>
          <w:p w:rsidR="004E2AC4" w:rsidRDefault="003A68E3" w:rsidP="00F32527">
            <w:pPr>
              <w:spacing w:after="0"/>
              <w:ind w:right="-46"/>
              <w:jc w:val="center"/>
              <w:rPr>
                <w:rFonts w:cs="Arial"/>
                <w:b/>
                <w:bCs/>
              </w:rPr>
            </w:pPr>
            <w:r>
              <w:rPr>
                <w:rFonts w:cs="Arial"/>
                <w:b/>
                <w:bCs/>
              </w:rPr>
              <w:t>12</w:t>
            </w:r>
          </w:p>
        </w:tc>
      </w:tr>
      <w:tr w:rsidR="00297702" w:rsidTr="00FC66D8">
        <w:trPr>
          <w:jc w:val="center"/>
        </w:trPr>
        <w:tc>
          <w:tcPr>
            <w:tcW w:w="6705" w:type="dxa"/>
          </w:tcPr>
          <w:p w:rsidR="00297702" w:rsidRDefault="00297702" w:rsidP="00F32527">
            <w:pPr>
              <w:tabs>
                <w:tab w:val="left" w:pos="738"/>
                <w:tab w:val="left" w:pos="1387"/>
                <w:tab w:val="left" w:pos="1762"/>
                <w:tab w:val="left" w:pos="1872"/>
              </w:tabs>
              <w:spacing w:after="0"/>
              <w:ind w:right="-46"/>
              <w:rPr>
                <w:rFonts w:cs="Arial"/>
                <w:b/>
                <w:bCs/>
              </w:rPr>
            </w:pPr>
          </w:p>
          <w:p w:rsidR="007430FF" w:rsidRDefault="005C0601" w:rsidP="007430FF">
            <w:pPr>
              <w:spacing w:after="0"/>
              <w:ind w:right="-46"/>
              <w:jc w:val="left"/>
              <w:rPr>
                <w:rFonts w:cs="Arial"/>
                <w:b/>
                <w:bCs/>
              </w:rPr>
            </w:pPr>
            <w:r>
              <w:rPr>
                <w:rFonts w:cs="Arial"/>
                <w:b/>
                <w:bCs/>
              </w:rPr>
              <w:t>9</w:t>
            </w:r>
            <w:r w:rsidR="007430FF">
              <w:rPr>
                <w:rFonts w:cs="Arial"/>
                <w:b/>
                <w:bCs/>
              </w:rPr>
              <w:t>.</w:t>
            </w:r>
            <w:r w:rsidR="007430FF">
              <w:rPr>
                <w:rFonts w:cs="Arial"/>
                <w:b/>
                <w:bCs/>
              </w:rPr>
              <w:tab/>
              <w:t>Annex 1</w:t>
            </w:r>
            <w:r w:rsidR="006A6ADE">
              <w:rPr>
                <w:rFonts w:cs="Arial"/>
                <w:b/>
                <w:bCs/>
              </w:rPr>
              <w:t xml:space="preserve"> </w:t>
            </w:r>
            <w:r w:rsidR="007430FF">
              <w:rPr>
                <w:rFonts w:cs="Arial"/>
                <w:b/>
                <w:bCs/>
              </w:rPr>
              <w:t>-</w:t>
            </w:r>
            <w:r w:rsidR="006A6ADE">
              <w:rPr>
                <w:rFonts w:cs="Arial"/>
                <w:b/>
                <w:bCs/>
              </w:rPr>
              <w:t xml:space="preserve"> </w:t>
            </w:r>
            <w:r w:rsidR="007430FF" w:rsidRPr="007430FF">
              <w:rPr>
                <w:rFonts w:cs="Arial"/>
                <w:b/>
                <w:bCs/>
              </w:rPr>
              <w:t>Additions to the Approved February</w:t>
            </w:r>
          </w:p>
          <w:p w:rsidR="00297702" w:rsidRDefault="007430FF" w:rsidP="00157EBA">
            <w:pPr>
              <w:spacing w:after="0"/>
              <w:ind w:right="-46"/>
              <w:jc w:val="left"/>
              <w:rPr>
                <w:rFonts w:cs="Arial"/>
                <w:b/>
                <w:bCs/>
              </w:rPr>
            </w:pPr>
            <w:r>
              <w:rPr>
                <w:rFonts w:cs="Arial"/>
                <w:b/>
                <w:bCs/>
              </w:rPr>
              <w:t xml:space="preserve">          </w:t>
            </w:r>
            <w:r w:rsidRPr="007430FF">
              <w:rPr>
                <w:rFonts w:cs="Arial"/>
                <w:b/>
                <w:bCs/>
              </w:rPr>
              <w:t xml:space="preserve"> 2015/16 Capital Programme up to 30</w:t>
            </w:r>
            <w:r w:rsidRPr="007430FF">
              <w:rPr>
                <w:rFonts w:cs="Arial"/>
                <w:b/>
                <w:bCs/>
                <w:vertAlign w:val="superscript"/>
              </w:rPr>
              <w:t>th</w:t>
            </w:r>
            <w:r w:rsidRPr="007430FF">
              <w:rPr>
                <w:rFonts w:cs="Arial"/>
                <w:b/>
                <w:bCs/>
              </w:rPr>
              <w:t xml:space="preserve"> June 2015</w:t>
            </w:r>
          </w:p>
          <w:p w:rsidR="00297702" w:rsidRDefault="00297702" w:rsidP="00F32527">
            <w:pPr>
              <w:tabs>
                <w:tab w:val="left" w:pos="738"/>
                <w:tab w:val="left" w:pos="1387"/>
                <w:tab w:val="left" w:pos="1762"/>
                <w:tab w:val="left" w:pos="1872"/>
              </w:tabs>
              <w:spacing w:after="0"/>
              <w:ind w:right="-46"/>
              <w:rPr>
                <w:rFonts w:cs="Arial"/>
                <w:b/>
                <w:bCs/>
              </w:rPr>
            </w:pPr>
          </w:p>
        </w:tc>
        <w:tc>
          <w:tcPr>
            <w:tcW w:w="2311" w:type="dxa"/>
            <w:vAlign w:val="center"/>
          </w:tcPr>
          <w:p w:rsidR="004E2AC4" w:rsidRDefault="004E2AC4" w:rsidP="00F32527">
            <w:pPr>
              <w:spacing w:after="0"/>
              <w:ind w:right="-46"/>
              <w:jc w:val="center"/>
              <w:rPr>
                <w:rFonts w:cs="Arial"/>
                <w:b/>
                <w:bCs/>
              </w:rPr>
            </w:pPr>
          </w:p>
        </w:tc>
      </w:tr>
      <w:tr w:rsidR="00297702" w:rsidTr="00FC66D8">
        <w:trPr>
          <w:jc w:val="center"/>
        </w:trPr>
        <w:tc>
          <w:tcPr>
            <w:tcW w:w="6705" w:type="dxa"/>
          </w:tcPr>
          <w:p w:rsidR="00297702" w:rsidRDefault="00297702" w:rsidP="00F32527">
            <w:pPr>
              <w:tabs>
                <w:tab w:val="left" w:pos="738"/>
                <w:tab w:val="left" w:pos="1387"/>
                <w:tab w:val="left" w:pos="1762"/>
                <w:tab w:val="left" w:pos="1872"/>
              </w:tabs>
              <w:spacing w:after="0"/>
              <w:ind w:right="-46"/>
              <w:rPr>
                <w:rFonts w:cs="Arial"/>
                <w:b/>
                <w:bCs/>
              </w:rPr>
            </w:pPr>
          </w:p>
          <w:p w:rsidR="00297702" w:rsidRDefault="005C0601" w:rsidP="00157EBA">
            <w:pPr>
              <w:tabs>
                <w:tab w:val="left" w:pos="738"/>
                <w:tab w:val="left" w:pos="1387"/>
                <w:tab w:val="left" w:pos="1762"/>
                <w:tab w:val="left" w:pos="1872"/>
              </w:tabs>
              <w:spacing w:after="0"/>
              <w:ind w:left="738" w:right="-46" w:hanging="738"/>
              <w:rPr>
                <w:rFonts w:cs="Arial"/>
                <w:b/>
                <w:bCs/>
              </w:rPr>
            </w:pPr>
            <w:r>
              <w:rPr>
                <w:rFonts w:cs="Arial"/>
                <w:b/>
                <w:bCs/>
              </w:rPr>
              <w:t>10</w:t>
            </w:r>
            <w:r w:rsidR="00297702">
              <w:rPr>
                <w:rFonts w:cs="Arial"/>
                <w:b/>
                <w:bCs/>
              </w:rPr>
              <w:t>.</w:t>
            </w:r>
            <w:r w:rsidR="00297702">
              <w:rPr>
                <w:rFonts w:cs="Arial"/>
                <w:b/>
                <w:bCs/>
              </w:rPr>
              <w:tab/>
              <w:t xml:space="preserve">Annex </w:t>
            </w:r>
            <w:r w:rsidR="007430FF">
              <w:rPr>
                <w:rFonts w:cs="Arial"/>
                <w:b/>
                <w:bCs/>
              </w:rPr>
              <w:t>2</w:t>
            </w:r>
            <w:r w:rsidR="00297702">
              <w:rPr>
                <w:rFonts w:cs="Arial"/>
                <w:b/>
                <w:bCs/>
              </w:rPr>
              <w:t xml:space="preserve"> – </w:t>
            </w:r>
            <w:r w:rsidR="007430FF">
              <w:rPr>
                <w:rFonts w:cs="Arial"/>
                <w:b/>
                <w:bCs/>
              </w:rPr>
              <w:t>Quarter 2 Outline Capital Monitoring</w:t>
            </w:r>
          </w:p>
          <w:p w:rsidR="00157EBA" w:rsidRDefault="00157EBA" w:rsidP="00157EBA">
            <w:pPr>
              <w:tabs>
                <w:tab w:val="left" w:pos="738"/>
                <w:tab w:val="left" w:pos="1387"/>
                <w:tab w:val="left" w:pos="1762"/>
                <w:tab w:val="left" w:pos="1872"/>
              </w:tabs>
              <w:spacing w:after="0"/>
              <w:ind w:left="738" w:right="-46" w:hanging="738"/>
              <w:rPr>
                <w:rFonts w:cs="Arial"/>
                <w:b/>
                <w:bCs/>
              </w:rPr>
            </w:pPr>
          </w:p>
        </w:tc>
        <w:tc>
          <w:tcPr>
            <w:tcW w:w="2311" w:type="dxa"/>
            <w:vAlign w:val="center"/>
          </w:tcPr>
          <w:p w:rsidR="004E2AC4" w:rsidRDefault="004E2AC4" w:rsidP="00F32527">
            <w:pPr>
              <w:spacing w:after="0"/>
              <w:ind w:right="-46"/>
              <w:jc w:val="center"/>
              <w:rPr>
                <w:rFonts w:cs="Arial"/>
                <w:b/>
                <w:bCs/>
              </w:rPr>
            </w:pPr>
          </w:p>
        </w:tc>
      </w:tr>
      <w:tr w:rsidR="00297702" w:rsidTr="00FC66D8">
        <w:trPr>
          <w:jc w:val="center"/>
        </w:trPr>
        <w:tc>
          <w:tcPr>
            <w:tcW w:w="6705" w:type="dxa"/>
          </w:tcPr>
          <w:p w:rsidR="00297702" w:rsidRDefault="00297702" w:rsidP="00F32527">
            <w:pPr>
              <w:tabs>
                <w:tab w:val="left" w:pos="738"/>
                <w:tab w:val="left" w:pos="1387"/>
                <w:tab w:val="left" w:pos="1762"/>
                <w:tab w:val="left" w:pos="1872"/>
              </w:tabs>
              <w:spacing w:after="0"/>
              <w:ind w:right="-46"/>
              <w:rPr>
                <w:rFonts w:cs="Arial"/>
                <w:b/>
                <w:bCs/>
              </w:rPr>
            </w:pPr>
          </w:p>
          <w:p w:rsidR="007430FF" w:rsidRDefault="005C0601" w:rsidP="007430FF">
            <w:pPr>
              <w:spacing w:after="0"/>
              <w:ind w:right="-46"/>
              <w:jc w:val="left"/>
              <w:rPr>
                <w:rFonts w:cs="Arial"/>
                <w:b/>
                <w:bCs/>
              </w:rPr>
            </w:pPr>
            <w:r>
              <w:rPr>
                <w:rFonts w:cs="Arial"/>
                <w:b/>
                <w:bCs/>
              </w:rPr>
              <w:t>11</w:t>
            </w:r>
            <w:r w:rsidR="00297702">
              <w:rPr>
                <w:rFonts w:cs="Arial"/>
                <w:b/>
                <w:bCs/>
              </w:rPr>
              <w:t>.</w:t>
            </w:r>
            <w:r w:rsidR="00297702">
              <w:rPr>
                <w:rFonts w:cs="Arial"/>
                <w:b/>
                <w:bCs/>
              </w:rPr>
              <w:tab/>
              <w:t xml:space="preserve">Annex </w:t>
            </w:r>
            <w:r w:rsidR="007430FF">
              <w:rPr>
                <w:rFonts w:cs="Arial"/>
                <w:b/>
                <w:bCs/>
              </w:rPr>
              <w:t>3</w:t>
            </w:r>
            <w:r w:rsidR="00297702">
              <w:rPr>
                <w:rFonts w:cs="Arial"/>
                <w:b/>
                <w:bCs/>
              </w:rPr>
              <w:t xml:space="preserve"> – </w:t>
            </w:r>
            <w:r w:rsidR="007430FF" w:rsidRPr="007430FF">
              <w:rPr>
                <w:rFonts w:cs="Arial"/>
                <w:b/>
                <w:bCs/>
              </w:rPr>
              <w:t xml:space="preserve">Risks, Important Issues and Funding </w:t>
            </w:r>
          </w:p>
          <w:p w:rsidR="00297702" w:rsidRDefault="007430FF" w:rsidP="00157EBA">
            <w:pPr>
              <w:spacing w:after="0"/>
              <w:ind w:right="-46"/>
              <w:jc w:val="left"/>
              <w:rPr>
                <w:rFonts w:cs="Arial"/>
                <w:b/>
                <w:bCs/>
              </w:rPr>
            </w:pPr>
            <w:r>
              <w:rPr>
                <w:rFonts w:cs="Arial"/>
                <w:b/>
                <w:bCs/>
              </w:rPr>
              <w:t xml:space="preserve">           </w:t>
            </w:r>
            <w:r w:rsidRPr="007430FF">
              <w:rPr>
                <w:rFonts w:cs="Arial"/>
                <w:b/>
                <w:bCs/>
              </w:rPr>
              <w:t>Pressures associated with the Capital Programme</w:t>
            </w:r>
          </w:p>
          <w:p w:rsidR="00297702" w:rsidRDefault="00297702" w:rsidP="00F32527">
            <w:pPr>
              <w:tabs>
                <w:tab w:val="left" w:pos="738"/>
                <w:tab w:val="left" w:pos="1387"/>
                <w:tab w:val="left" w:pos="1762"/>
                <w:tab w:val="left" w:pos="1872"/>
              </w:tabs>
              <w:spacing w:after="0"/>
              <w:ind w:right="-46"/>
              <w:rPr>
                <w:rFonts w:cs="Arial"/>
                <w:b/>
                <w:bCs/>
              </w:rPr>
            </w:pPr>
          </w:p>
        </w:tc>
        <w:tc>
          <w:tcPr>
            <w:tcW w:w="2311" w:type="dxa"/>
            <w:vAlign w:val="center"/>
          </w:tcPr>
          <w:p w:rsidR="004E2AC4" w:rsidRDefault="004E2AC4" w:rsidP="00F32527">
            <w:pPr>
              <w:spacing w:after="0"/>
              <w:ind w:right="-46"/>
              <w:jc w:val="center"/>
              <w:rPr>
                <w:rFonts w:cs="Arial"/>
                <w:b/>
                <w:bCs/>
              </w:rPr>
            </w:pPr>
          </w:p>
        </w:tc>
      </w:tr>
    </w:tbl>
    <w:p w:rsidR="00A31B9F" w:rsidRDefault="00A31B9F">
      <w:pPr>
        <w:autoSpaceDE/>
        <w:autoSpaceDN/>
        <w:adjustRightInd/>
        <w:spacing w:after="0"/>
        <w:jc w:val="left"/>
        <w:rPr>
          <w:rFonts w:eastAsia="Times New Roman" w:cs="Arial"/>
          <w:sz w:val="32"/>
          <w:szCs w:val="32"/>
          <w:lang w:eastAsia="en-GB"/>
        </w:rPr>
      </w:pPr>
      <w:r>
        <w:rPr>
          <w:rFonts w:eastAsia="Times New Roman" w:cs="Arial"/>
          <w:sz w:val="32"/>
          <w:szCs w:val="32"/>
          <w:lang w:eastAsia="en-GB"/>
        </w:rPr>
        <w:br w:type="page"/>
      </w:r>
    </w:p>
    <w:p w:rsidR="0035497C" w:rsidRPr="0035497C" w:rsidRDefault="008308E2" w:rsidP="0035497C">
      <w:pPr>
        <w:rPr>
          <w:sz w:val="32"/>
          <w:szCs w:val="32"/>
        </w:rPr>
      </w:pPr>
      <w:r w:rsidRPr="0035497C">
        <w:rPr>
          <w:rFonts w:eastAsia="Times New Roman" w:cs="Arial"/>
          <w:b/>
          <w:sz w:val="32"/>
          <w:szCs w:val="32"/>
          <w:lang w:eastAsia="en-GB"/>
        </w:rPr>
        <w:lastRenderedPageBreak/>
        <w:t>Money Matters –</w:t>
      </w:r>
      <w:r w:rsidR="0035497C" w:rsidRPr="0035497C">
        <w:rPr>
          <w:b/>
        </w:rPr>
        <w:t xml:space="preserve"> </w:t>
      </w:r>
      <w:r w:rsidR="0035497C" w:rsidRPr="0035497C">
        <w:rPr>
          <w:b/>
          <w:sz w:val="32"/>
          <w:szCs w:val="32"/>
        </w:rPr>
        <w:t>The County Council`s Capital Programme for 2016/17 and Beyond</w:t>
      </w:r>
    </w:p>
    <w:p w:rsidR="008308E2" w:rsidRPr="008308E2" w:rsidRDefault="008308E2" w:rsidP="008308E2">
      <w:pPr>
        <w:tabs>
          <w:tab w:val="left" w:pos="851"/>
          <w:tab w:val="left" w:pos="1418"/>
        </w:tabs>
        <w:spacing w:after="0"/>
        <w:ind w:right="-330"/>
        <w:rPr>
          <w:rFonts w:eastAsia="Times New Roman" w:cs="Arial"/>
          <w:lang w:eastAsia="en-GB"/>
        </w:rPr>
      </w:pPr>
    </w:p>
    <w:p w:rsidR="008308E2" w:rsidRPr="0035497C" w:rsidRDefault="008308E2" w:rsidP="00EE418D">
      <w:pPr>
        <w:pStyle w:val="ListParagraph"/>
        <w:numPr>
          <w:ilvl w:val="0"/>
          <w:numId w:val="41"/>
        </w:numPr>
        <w:tabs>
          <w:tab w:val="left" w:pos="851"/>
          <w:tab w:val="left" w:pos="1418"/>
        </w:tabs>
        <w:spacing w:after="0"/>
        <w:ind w:left="284" w:right="-24" w:hanging="284"/>
        <w:rPr>
          <w:rFonts w:eastAsia="Times New Roman" w:cs="Arial"/>
          <w:b/>
          <w:lang w:eastAsia="en-GB"/>
        </w:rPr>
      </w:pPr>
      <w:r w:rsidRPr="0035497C">
        <w:rPr>
          <w:rFonts w:eastAsia="Times New Roman" w:cs="Arial"/>
          <w:b/>
          <w:lang w:eastAsia="en-GB"/>
        </w:rPr>
        <w:t>Introduction</w:t>
      </w:r>
    </w:p>
    <w:p w:rsidR="008308E2" w:rsidRPr="008308E2" w:rsidRDefault="008308E2" w:rsidP="00B60B5D">
      <w:pPr>
        <w:tabs>
          <w:tab w:val="left" w:pos="851"/>
          <w:tab w:val="left" w:pos="1418"/>
        </w:tabs>
        <w:spacing w:after="0"/>
        <w:ind w:right="-24"/>
        <w:rPr>
          <w:rFonts w:eastAsia="Times New Roman" w:cs="Arial"/>
          <w:b/>
          <w:lang w:eastAsia="en-GB"/>
        </w:rPr>
      </w:pPr>
    </w:p>
    <w:p w:rsidR="0035497C" w:rsidRDefault="0035497C" w:rsidP="0035497C">
      <w:r>
        <w:t>This report sets out the following:</w:t>
      </w:r>
    </w:p>
    <w:p w:rsidR="0035497C" w:rsidRDefault="0035497C" w:rsidP="00EE418D">
      <w:pPr>
        <w:numPr>
          <w:ilvl w:val="0"/>
          <w:numId w:val="40"/>
        </w:numPr>
        <w:autoSpaceDE/>
        <w:autoSpaceDN/>
        <w:adjustRightInd/>
        <w:spacing w:after="0"/>
      </w:pPr>
      <w:r>
        <w:t>a brief summary of the Capital Programme as approved by Cabinet in February 2015 and the additional approvals since then against which monitoring is undertaken;</w:t>
      </w:r>
    </w:p>
    <w:p w:rsidR="0035497C" w:rsidRDefault="0035497C" w:rsidP="00EE418D">
      <w:pPr>
        <w:numPr>
          <w:ilvl w:val="0"/>
          <w:numId w:val="40"/>
        </w:numPr>
        <w:autoSpaceDE/>
        <w:autoSpaceDN/>
        <w:adjustRightInd/>
        <w:spacing w:after="0"/>
      </w:pPr>
      <w:r>
        <w:t xml:space="preserve">a summary of the County Council's Capital Programme financial position at the end of Quarter 2 of the 2015/16 financial year as at </w:t>
      </w:r>
      <w:r w:rsidRPr="005372D8">
        <w:t>30</w:t>
      </w:r>
      <w:r w:rsidRPr="005372D8">
        <w:rPr>
          <w:vertAlign w:val="superscript"/>
        </w:rPr>
        <w:t>th</w:t>
      </w:r>
      <w:r w:rsidRPr="005372D8">
        <w:t xml:space="preserve"> September</w:t>
      </w:r>
      <w:r w:rsidRPr="00576DF5">
        <w:rPr>
          <w:color w:val="FF0000"/>
        </w:rPr>
        <w:t xml:space="preserve"> </w:t>
      </w:r>
      <w:r>
        <w:t>2015;</w:t>
      </w:r>
    </w:p>
    <w:p w:rsidR="0035497C" w:rsidRDefault="0035497C" w:rsidP="00EE418D">
      <w:pPr>
        <w:numPr>
          <w:ilvl w:val="0"/>
          <w:numId w:val="40"/>
        </w:numPr>
        <w:autoSpaceDE/>
        <w:autoSpaceDN/>
        <w:adjustRightInd/>
        <w:spacing w:after="0"/>
      </w:pPr>
      <w:r>
        <w:rPr>
          <w:rFonts w:cs="Arial"/>
        </w:rPr>
        <w:t>a summary of projects within the approved 2015/16 programme which are now complete or considered not needed</w:t>
      </w:r>
      <w:r w:rsidRPr="0009178E">
        <w:rPr>
          <w:rFonts w:cs="Arial"/>
        </w:rPr>
        <w:t xml:space="preserve"> </w:t>
      </w:r>
      <w:r>
        <w:rPr>
          <w:rFonts w:cs="Arial"/>
        </w:rPr>
        <w:t xml:space="preserve">which can be used </w:t>
      </w:r>
      <w:r w:rsidRPr="0009178E">
        <w:rPr>
          <w:rFonts w:cs="Arial"/>
        </w:rPr>
        <w:t>as part of the 2016/17 programme</w:t>
      </w:r>
      <w:r>
        <w:rPr>
          <w:rFonts w:cs="Arial"/>
        </w:rPr>
        <w:t xml:space="preserve"> funding</w:t>
      </w:r>
      <w:r>
        <w:t xml:space="preserve"> solution;</w:t>
      </w:r>
    </w:p>
    <w:p w:rsidR="0035497C" w:rsidRDefault="0035497C" w:rsidP="00EE418D">
      <w:pPr>
        <w:numPr>
          <w:ilvl w:val="0"/>
          <w:numId w:val="40"/>
        </w:numPr>
        <w:autoSpaceDE/>
        <w:autoSpaceDN/>
        <w:adjustRightInd/>
        <w:spacing w:after="0"/>
      </w:pPr>
      <w:r>
        <w:t>an outline of the 2016/17 and following two years draft capital programme including known projects and  the effect on the capital programme of a number of Budget Options identified as part of the Cabinet discussions on the 26</w:t>
      </w:r>
      <w:r w:rsidRPr="006C32DD">
        <w:rPr>
          <w:vertAlign w:val="superscript"/>
        </w:rPr>
        <w:t>th</w:t>
      </w:r>
      <w:r>
        <w:t xml:space="preserve"> November 2015;</w:t>
      </w:r>
    </w:p>
    <w:p w:rsidR="0035497C" w:rsidRDefault="0035497C" w:rsidP="00EE418D">
      <w:pPr>
        <w:numPr>
          <w:ilvl w:val="0"/>
          <w:numId w:val="40"/>
        </w:numPr>
        <w:autoSpaceDE/>
        <w:autoSpaceDN/>
        <w:adjustRightInd/>
        <w:spacing w:after="0"/>
      </w:pPr>
      <w:r>
        <w:t>summary of the proposed funding of the 2016/17 capital programme and the revenue implications of the increased use of prudential borrowing;</w:t>
      </w:r>
    </w:p>
    <w:p w:rsidR="0035497C" w:rsidRDefault="0035497C" w:rsidP="0035497C">
      <w:pPr>
        <w:numPr>
          <w:ilvl w:val="0"/>
          <w:numId w:val="40"/>
        </w:numPr>
        <w:autoSpaceDE/>
        <w:autoSpaceDN/>
        <w:adjustRightInd/>
        <w:spacing w:after="0"/>
        <w:jc w:val="left"/>
      </w:pPr>
      <w:proofErr w:type="gramStart"/>
      <w:r>
        <w:t>risks</w:t>
      </w:r>
      <w:proofErr w:type="gramEnd"/>
      <w:r>
        <w:t>, important issues and funding pressures.</w:t>
      </w:r>
    </w:p>
    <w:p w:rsidR="0035497C" w:rsidRDefault="0035497C" w:rsidP="0035497C"/>
    <w:p w:rsidR="0035497C" w:rsidRPr="00EE418D" w:rsidRDefault="0035497C" w:rsidP="00EE418D">
      <w:pPr>
        <w:pStyle w:val="ListParagraph"/>
        <w:numPr>
          <w:ilvl w:val="0"/>
          <w:numId w:val="41"/>
        </w:numPr>
        <w:ind w:left="284" w:hanging="284"/>
        <w:rPr>
          <w:b/>
        </w:rPr>
      </w:pPr>
      <w:r w:rsidRPr="00EE418D">
        <w:rPr>
          <w:b/>
        </w:rPr>
        <w:t>The 2015/16 Capital Programme</w:t>
      </w:r>
    </w:p>
    <w:p w:rsidR="00EE418D" w:rsidRDefault="0035497C" w:rsidP="00EE418D">
      <w:pPr>
        <w:tabs>
          <w:tab w:val="left" w:pos="0"/>
          <w:tab w:val="left" w:pos="1418"/>
          <w:tab w:val="left" w:pos="1985"/>
          <w:tab w:val="left" w:pos="2268"/>
        </w:tabs>
        <w:spacing w:after="0" w:line="257" w:lineRule="auto"/>
        <w:rPr>
          <w:rFonts w:cs="Arial"/>
        </w:rPr>
      </w:pPr>
      <w:r>
        <w:rPr>
          <w:rFonts w:cs="Arial"/>
        </w:rPr>
        <w:t>T</w:t>
      </w:r>
      <w:r w:rsidRPr="003D1268">
        <w:rPr>
          <w:rFonts w:cs="Arial"/>
        </w:rPr>
        <w:t xml:space="preserve">able </w:t>
      </w:r>
      <w:r>
        <w:rPr>
          <w:rFonts w:cs="Arial"/>
        </w:rPr>
        <w:t xml:space="preserve">1 </w:t>
      </w:r>
      <w:r w:rsidRPr="003D1268">
        <w:rPr>
          <w:rFonts w:cs="Arial"/>
        </w:rPr>
        <w:t xml:space="preserve">below </w:t>
      </w:r>
      <w:r>
        <w:rPr>
          <w:rFonts w:cs="Arial"/>
        </w:rPr>
        <w:t>sets out th</w:t>
      </w:r>
      <w:r w:rsidRPr="003D1268">
        <w:rPr>
          <w:rFonts w:cs="Arial"/>
        </w:rPr>
        <w:t>e Capital Programme for 2015/16 and future years</w:t>
      </w:r>
      <w:r>
        <w:rPr>
          <w:rFonts w:cs="Arial"/>
        </w:rPr>
        <w:t>, showing the separate blocks as they were approved in February 2015.  This table is</w:t>
      </w:r>
      <w:r w:rsidRPr="003D1268">
        <w:rPr>
          <w:rFonts w:cs="Arial"/>
        </w:rPr>
        <w:t xml:space="preserve"> as previously report</w:t>
      </w:r>
      <w:r w:rsidR="00EE418D">
        <w:rPr>
          <w:rFonts w:cs="Arial"/>
        </w:rPr>
        <w:t>ed in Money Matters 2014/15 Out</w:t>
      </w:r>
      <w:r w:rsidRPr="003D1268">
        <w:rPr>
          <w:rFonts w:cs="Arial"/>
        </w:rPr>
        <w:t>turn repor</w:t>
      </w:r>
      <w:r>
        <w:rPr>
          <w:rFonts w:cs="Arial"/>
        </w:rPr>
        <w:t xml:space="preserve">t.  </w:t>
      </w:r>
      <w:r w:rsidRPr="003D1268">
        <w:rPr>
          <w:rFonts w:cs="Arial"/>
        </w:rPr>
        <w:t>The 2015/16 column includes slippage brought forward</w:t>
      </w:r>
      <w:r>
        <w:rPr>
          <w:rFonts w:cs="Arial"/>
        </w:rPr>
        <w:t xml:space="preserve">.  </w:t>
      </w:r>
      <w:r w:rsidRPr="005372D8">
        <w:rPr>
          <w:rFonts w:cs="Arial"/>
        </w:rPr>
        <w:t>A</w:t>
      </w:r>
      <w:r>
        <w:rPr>
          <w:rFonts w:cs="Arial"/>
        </w:rPr>
        <w:t>nnex 1</w:t>
      </w:r>
      <w:r w:rsidRPr="005372D8">
        <w:rPr>
          <w:rFonts w:cs="Arial"/>
        </w:rPr>
        <w:t xml:space="preserve"> outlines the individual additions to the February approved programme up to 30</w:t>
      </w:r>
      <w:r w:rsidRPr="005372D8">
        <w:rPr>
          <w:rFonts w:cs="Arial"/>
          <w:vertAlign w:val="superscript"/>
        </w:rPr>
        <w:t>th</w:t>
      </w:r>
      <w:r w:rsidRPr="005372D8">
        <w:rPr>
          <w:rFonts w:cs="Arial"/>
        </w:rPr>
        <w:t xml:space="preserve"> September 2015, and therefore inclu</w:t>
      </w:r>
      <w:r w:rsidR="00EE418D">
        <w:rPr>
          <w:rFonts w:cs="Arial"/>
        </w:rPr>
        <w:t>ded in the Quarter 2 monitoring.</w:t>
      </w:r>
    </w:p>
    <w:p w:rsidR="00EE418D" w:rsidRDefault="00EE418D" w:rsidP="00EE418D">
      <w:pPr>
        <w:tabs>
          <w:tab w:val="left" w:pos="0"/>
          <w:tab w:val="left" w:pos="1418"/>
          <w:tab w:val="left" w:pos="1985"/>
          <w:tab w:val="left" w:pos="2268"/>
        </w:tabs>
        <w:spacing w:after="0" w:line="257" w:lineRule="auto"/>
        <w:rPr>
          <w:rFonts w:cs="Arial"/>
        </w:rPr>
      </w:pPr>
    </w:p>
    <w:p w:rsidR="0035497C" w:rsidRDefault="0035497C" w:rsidP="00EE418D">
      <w:pPr>
        <w:tabs>
          <w:tab w:val="left" w:pos="0"/>
          <w:tab w:val="left" w:pos="1418"/>
          <w:tab w:val="left" w:pos="1985"/>
          <w:tab w:val="left" w:pos="2268"/>
        </w:tabs>
        <w:spacing w:after="0" w:line="257" w:lineRule="auto"/>
        <w:rPr>
          <w:rFonts w:cs="Arial"/>
        </w:rPr>
      </w:pPr>
      <w:r w:rsidRPr="00D31652">
        <w:rPr>
          <w:rFonts w:cs="Arial"/>
        </w:rPr>
        <w:t>The City Deal figures included in the February 2015 programme represented the nine years remaining from the initial ten year pr</w:t>
      </w:r>
      <w:r>
        <w:rPr>
          <w:rFonts w:cs="Arial"/>
        </w:rPr>
        <w:t>ogramme i.e. 2015/16 to 2023/24,</w:t>
      </w:r>
      <w:r w:rsidRPr="00D31652">
        <w:rPr>
          <w:rFonts w:cs="Arial"/>
        </w:rPr>
        <w:t xml:space="preserve"> whereas in the case of all other blocks, a programme was set</w:t>
      </w:r>
      <w:r>
        <w:rPr>
          <w:rFonts w:cs="Arial"/>
        </w:rPr>
        <w:t xml:space="preserve"> with a maximum three year profile</w:t>
      </w:r>
      <w:r w:rsidRPr="00D31652">
        <w:rPr>
          <w:rFonts w:cs="Arial"/>
        </w:rPr>
        <w:t>, i.e. ending in 2017/18.</w:t>
      </w:r>
    </w:p>
    <w:p w:rsidR="0035497C" w:rsidRDefault="0035497C" w:rsidP="0035497C">
      <w:pPr>
        <w:tabs>
          <w:tab w:val="left" w:pos="851"/>
          <w:tab w:val="left" w:pos="1418"/>
          <w:tab w:val="left" w:pos="1985"/>
          <w:tab w:val="left" w:pos="2268"/>
        </w:tabs>
        <w:spacing w:line="256" w:lineRule="auto"/>
        <w:rPr>
          <w:rFonts w:cs="Arial"/>
        </w:rPr>
      </w:pPr>
    </w:p>
    <w:p w:rsidR="0035497C" w:rsidRDefault="0035497C" w:rsidP="0035497C">
      <w:pPr>
        <w:tabs>
          <w:tab w:val="left" w:pos="851"/>
          <w:tab w:val="left" w:pos="1418"/>
          <w:tab w:val="left" w:pos="1985"/>
          <w:tab w:val="left" w:pos="2268"/>
        </w:tabs>
        <w:spacing w:line="256" w:lineRule="auto"/>
        <w:rPr>
          <w:rFonts w:cs="Arial"/>
        </w:rPr>
      </w:pPr>
    </w:p>
    <w:p w:rsidR="00EE418D" w:rsidRDefault="00EE418D" w:rsidP="0035497C">
      <w:pPr>
        <w:tabs>
          <w:tab w:val="left" w:pos="851"/>
          <w:tab w:val="left" w:pos="1418"/>
          <w:tab w:val="left" w:pos="1985"/>
          <w:tab w:val="left" w:pos="2268"/>
        </w:tabs>
        <w:spacing w:line="256" w:lineRule="auto"/>
        <w:rPr>
          <w:rFonts w:cs="Arial"/>
        </w:rPr>
      </w:pPr>
    </w:p>
    <w:p w:rsidR="0035497C" w:rsidRDefault="0035497C" w:rsidP="0035497C">
      <w:pPr>
        <w:tabs>
          <w:tab w:val="left" w:pos="851"/>
          <w:tab w:val="left" w:pos="1418"/>
          <w:tab w:val="left" w:pos="1985"/>
          <w:tab w:val="left" w:pos="2268"/>
        </w:tabs>
        <w:spacing w:line="256" w:lineRule="auto"/>
        <w:rPr>
          <w:rFonts w:cs="Arial"/>
        </w:rPr>
      </w:pPr>
    </w:p>
    <w:p w:rsidR="0035497C" w:rsidRDefault="0035497C" w:rsidP="0035497C">
      <w:pPr>
        <w:tabs>
          <w:tab w:val="left" w:pos="851"/>
          <w:tab w:val="left" w:pos="1418"/>
          <w:tab w:val="left" w:pos="1985"/>
          <w:tab w:val="left" w:pos="2268"/>
        </w:tabs>
        <w:spacing w:line="256" w:lineRule="auto"/>
        <w:rPr>
          <w:rFonts w:cs="Arial"/>
        </w:rPr>
      </w:pPr>
    </w:p>
    <w:p w:rsidR="0035497C" w:rsidRDefault="0035497C" w:rsidP="0035497C">
      <w:pPr>
        <w:tabs>
          <w:tab w:val="left" w:pos="851"/>
          <w:tab w:val="left" w:pos="1418"/>
          <w:tab w:val="left" w:pos="1985"/>
          <w:tab w:val="left" w:pos="2268"/>
        </w:tabs>
        <w:spacing w:line="256" w:lineRule="auto"/>
        <w:rPr>
          <w:rFonts w:cs="Arial"/>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8"/>
        <w:gridCol w:w="1276"/>
        <w:gridCol w:w="1134"/>
        <w:gridCol w:w="1417"/>
        <w:gridCol w:w="1134"/>
      </w:tblGrid>
      <w:tr w:rsidR="0035497C" w:rsidRPr="003D1268" w:rsidTr="00F32527">
        <w:trPr>
          <w:trHeight w:val="1137"/>
        </w:trPr>
        <w:tc>
          <w:tcPr>
            <w:tcW w:w="3261" w:type="dxa"/>
            <w:tcBorders>
              <w:top w:val="single" w:sz="4" w:space="0" w:color="auto"/>
              <w:left w:val="single" w:sz="4" w:space="0" w:color="auto"/>
              <w:bottom w:val="nil"/>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Table 1:  Capital Investment  Programme blocks</w:t>
            </w:r>
          </w:p>
        </w:tc>
        <w:tc>
          <w:tcPr>
            <w:tcW w:w="1558" w:type="dxa"/>
            <w:tcBorders>
              <w:top w:val="single" w:sz="4" w:space="0" w:color="auto"/>
              <w:left w:val="single" w:sz="4" w:space="0" w:color="auto"/>
              <w:bottom w:val="nil"/>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2015/16</w:t>
            </w:r>
          </w:p>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£m</w:t>
            </w:r>
          </w:p>
        </w:tc>
        <w:tc>
          <w:tcPr>
            <w:tcW w:w="1276" w:type="dxa"/>
            <w:tcBorders>
              <w:top w:val="single" w:sz="4" w:space="0" w:color="auto"/>
              <w:left w:val="single" w:sz="4" w:space="0" w:color="auto"/>
              <w:bottom w:val="nil"/>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2016/17</w:t>
            </w:r>
          </w:p>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£m</w:t>
            </w:r>
          </w:p>
        </w:tc>
        <w:tc>
          <w:tcPr>
            <w:tcW w:w="1134" w:type="dxa"/>
            <w:tcBorders>
              <w:top w:val="single" w:sz="4" w:space="0" w:color="auto"/>
              <w:left w:val="single" w:sz="4" w:space="0" w:color="auto"/>
              <w:bottom w:val="nil"/>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2017/18</w:t>
            </w:r>
          </w:p>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£m</w:t>
            </w:r>
          </w:p>
        </w:tc>
        <w:tc>
          <w:tcPr>
            <w:tcW w:w="1417" w:type="dxa"/>
            <w:tcBorders>
              <w:top w:val="single" w:sz="4" w:space="0" w:color="auto"/>
              <w:left w:val="single" w:sz="4" w:space="0" w:color="auto"/>
              <w:bottom w:val="nil"/>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2018/19 onwards</w:t>
            </w: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£m</w:t>
            </w:r>
          </w:p>
        </w:tc>
        <w:tc>
          <w:tcPr>
            <w:tcW w:w="1134" w:type="dxa"/>
            <w:tcBorders>
              <w:top w:val="single" w:sz="4" w:space="0" w:color="auto"/>
              <w:left w:val="single" w:sz="4" w:space="0" w:color="auto"/>
              <w:bottom w:val="nil"/>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Total</w:t>
            </w:r>
          </w:p>
          <w:p w:rsidR="0035497C" w:rsidRPr="006000C4" w:rsidRDefault="0035497C" w:rsidP="00F32527">
            <w:pPr>
              <w:tabs>
                <w:tab w:val="left" w:pos="851"/>
                <w:tab w:val="left" w:pos="1418"/>
                <w:tab w:val="left" w:pos="1985"/>
                <w:tab w:val="left" w:pos="2268"/>
              </w:tabs>
              <w:jc w:val="center"/>
              <w:rPr>
                <w:rFonts w:cs="Arial"/>
                <w:b/>
                <w:sz w:val="22"/>
                <w:szCs w:val="22"/>
              </w:rPr>
            </w:pPr>
          </w:p>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£m</w:t>
            </w:r>
          </w:p>
        </w:tc>
      </w:tr>
      <w:tr w:rsidR="0035497C" w:rsidRPr="003D1268" w:rsidTr="00F32527">
        <w:trPr>
          <w:trHeight w:val="39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Schools</w:t>
            </w:r>
          </w:p>
          <w:p w:rsidR="0035497C" w:rsidRPr="006000C4" w:rsidRDefault="0035497C" w:rsidP="00F32527">
            <w:pPr>
              <w:tabs>
                <w:tab w:val="left" w:pos="851"/>
                <w:tab w:val="left" w:pos="1418"/>
                <w:tab w:val="left" w:pos="1985"/>
                <w:tab w:val="left" w:pos="2268"/>
              </w:tabs>
              <w:rPr>
                <w:rFonts w:cs="Arial"/>
                <w:b/>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sz w:val="22"/>
                <w:szCs w:val="22"/>
              </w:rPr>
              <w:t>44.661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sz w:val="22"/>
                <w:szCs w:val="22"/>
              </w:rPr>
              <w:t>4.346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sz w:val="22"/>
                <w:szCs w:val="22"/>
              </w:rPr>
              <w:t>3.580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sz w:val="22"/>
                <w:szCs w:val="22"/>
              </w:rPr>
              <w:t>52.587</w:t>
            </w:r>
          </w:p>
        </w:tc>
      </w:tr>
      <w:tr w:rsidR="0035497C" w:rsidRPr="003D1268" w:rsidTr="00F32527">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Children &amp; Young People`s Services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13.989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3.225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17.216</w:t>
            </w:r>
          </w:p>
        </w:tc>
      </w:tr>
      <w:tr w:rsidR="0035497C" w:rsidRPr="003D1268" w:rsidTr="00F32527">
        <w:trPr>
          <w:trHeight w:val="58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Highways Maintenance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42.276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20.454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19.964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82.694</w:t>
            </w:r>
          </w:p>
        </w:tc>
      </w:tr>
      <w:tr w:rsidR="0035497C" w:rsidRPr="003D1268" w:rsidTr="00F32527">
        <w:trPr>
          <w:trHeight w:val="534"/>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Transport Improvement Schemes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71.334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5.695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5.870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82.899</w:t>
            </w:r>
          </w:p>
        </w:tc>
      </w:tr>
      <w:tr w:rsidR="0035497C" w:rsidRPr="003D1268" w:rsidTr="00F32527">
        <w:trPr>
          <w:trHeight w:val="61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Waste &amp; other Environment projects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1.660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7.307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9.467</w:t>
            </w:r>
          </w:p>
        </w:tc>
      </w:tr>
      <w:tr w:rsidR="0035497C" w:rsidRPr="003D1268" w:rsidTr="00F32527">
        <w:trPr>
          <w:trHeight w:val="42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Adult Social Care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16.892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6.787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0.213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23.892</w:t>
            </w:r>
          </w:p>
        </w:tc>
      </w:tr>
      <w:tr w:rsidR="0035497C" w:rsidRPr="003D1268" w:rsidTr="00F32527">
        <w:trPr>
          <w:trHeight w:val="534"/>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Corporate Programmes excluding vehicles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26.169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12.962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39.131</w:t>
            </w:r>
          </w:p>
        </w:tc>
      </w:tr>
      <w:tr w:rsidR="0035497C" w:rsidRPr="003D1268" w:rsidTr="00F32527">
        <w:trPr>
          <w:trHeight w:val="55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Vehicle Replacement Programme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6.204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3.200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12.604</w:t>
            </w:r>
          </w:p>
        </w:tc>
      </w:tr>
      <w:tr w:rsidR="0035497C" w:rsidRPr="003D1268" w:rsidTr="00F32527">
        <w:trPr>
          <w:trHeight w:val="593"/>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rPr>
                <w:rFonts w:cs="Arial"/>
                <w:b/>
                <w:sz w:val="22"/>
                <w:szCs w:val="22"/>
              </w:rPr>
            </w:pPr>
            <w:r w:rsidRPr="006000C4">
              <w:rPr>
                <w:rFonts w:cs="Arial"/>
                <w:b/>
                <w:sz w:val="22"/>
                <w:szCs w:val="22"/>
              </w:rPr>
              <w:t>NON LEP LCC PROGRAMME SUBTOTAL</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223.185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57.169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40.136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b/>
                <w:sz w:val="22"/>
                <w:szCs w:val="22"/>
              </w:rPr>
            </w:pPr>
            <w:r w:rsidRPr="006000C4">
              <w:rPr>
                <w:rFonts w:cs="Arial"/>
                <w:b/>
                <w:sz w:val="22"/>
                <w:szCs w:val="22"/>
              </w:rPr>
              <w:t>320.490</w:t>
            </w:r>
          </w:p>
        </w:tc>
      </w:tr>
      <w:tr w:rsidR="0035497C" w:rsidRPr="003D1268" w:rsidTr="00F32527">
        <w:trPr>
          <w:trHeight w:val="39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sz w:val="22"/>
                <w:szCs w:val="22"/>
              </w:rPr>
              <w:t>City Deal schemes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46.193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75.128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26.974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177.646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sz w:val="22"/>
                <w:szCs w:val="22"/>
              </w:rPr>
              <w:t>325.941</w:t>
            </w:r>
          </w:p>
        </w:tc>
      </w:tr>
      <w:tr w:rsidR="0035497C" w:rsidRPr="003D1268" w:rsidTr="00F32527">
        <w:trPr>
          <w:trHeight w:val="52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5497C" w:rsidRPr="006000C4" w:rsidRDefault="0035497C" w:rsidP="00F32527">
            <w:pPr>
              <w:tabs>
                <w:tab w:val="left" w:pos="851"/>
                <w:tab w:val="left" w:pos="1418"/>
                <w:tab w:val="left" w:pos="1985"/>
                <w:tab w:val="left" w:pos="2268"/>
              </w:tabs>
              <w:rPr>
                <w:rFonts w:cs="Arial"/>
                <w:sz w:val="22"/>
                <w:szCs w:val="22"/>
              </w:rPr>
            </w:pPr>
            <w:r w:rsidRPr="006000C4">
              <w:rPr>
                <w:rFonts w:cs="Arial"/>
                <w:b/>
                <w:sz w:val="22"/>
                <w:szCs w:val="22"/>
              </w:rPr>
              <w:t>TOTAL APPROVED PROGRAMME</w:t>
            </w:r>
            <w:r>
              <w:rPr>
                <w:rFonts w:cs="Arial"/>
                <w:b/>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b/>
                <w:sz w:val="22"/>
                <w:szCs w:val="22"/>
              </w:rPr>
              <w:t>269.378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b/>
                <w:sz w:val="22"/>
                <w:szCs w:val="22"/>
              </w:rPr>
              <w:t>132.297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b/>
                <w:sz w:val="22"/>
                <w:szCs w:val="22"/>
              </w:rPr>
              <w:t>67.110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b/>
                <w:sz w:val="22"/>
                <w:szCs w:val="22"/>
              </w:rPr>
              <w:t>177.646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497C" w:rsidRPr="006000C4" w:rsidRDefault="0035497C" w:rsidP="00F32527">
            <w:pPr>
              <w:tabs>
                <w:tab w:val="left" w:pos="851"/>
                <w:tab w:val="left" w:pos="1418"/>
                <w:tab w:val="left" w:pos="1985"/>
                <w:tab w:val="left" w:pos="2268"/>
              </w:tabs>
              <w:jc w:val="center"/>
              <w:rPr>
                <w:rFonts w:cs="Arial"/>
                <w:sz w:val="22"/>
                <w:szCs w:val="22"/>
              </w:rPr>
            </w:pPr>
            <w:r w:rsidRPr="006000C4">
              <w:rPr>
                <w:rFonts w:cs="Arial"/>
                <w:b/>
                <w:sz w:val="22"/>
                <w:szCs w:val="22"/>
              </w:rPr>
              <w:t>646.431</w:t>
            </w:r>
          </w:p>
        </w:tc>
      </w:tr>
    </w:tbl>
    <w:p w:rsidR="0035497C" w:rsidRDefault="0035497C" w:rsidP="0035497C"/>
    <w:p w:rsidR="0035497C" w:rsidRPr="00EE418D" w:rsidRDefault="0035497C" w:rsidP="00EE418D">
      <w:pPr>
        <w:pStyle w:val="ListParagraph"/>
        <w:numPr>
          <w:ilvl w:val="0"/>
          <w:numId w:val="41"/>
        </w:numPr>
        <w:spacing w:after="0"/>
        <w:ind w:left="284" w:hanging="284"/>
        <w:rPr>
          <w:b/>
        </w:rPr>
      </w:pPr>
      <w:r w:rsidRPr="00EE418D">
        <w:rPr>
          <w:b/>
        </w:rPr>
        <w:t>Quarter 2 Capital Programme Financial Position</w:t>
      </w:r>
    </w:p>
    <w:p w:rsidR="0035497C" w:rsidRDefault="0035497C" w:rsidP="00EE418D">
      <w:pPr>
        <w:tabs>
          <w:tab w:val="left" w:pos="851"/>
          <w:tab w:val="left" w:pos="1418"/>
          <w:tab w:val="left" w:pos="1985"/>
          <w:tab w:val="left" w:pos="2268"/>
        </w:tabs>
        <w:spacing w:after="0"/>
        <w:outlineLvl w:val="0"/>
        <w:rPr>
          <w:rFonts w:cs="Arial"/>
        </w:rPr>
      </w:pPr>
      <w:r>
        <w:rPr>
          <w:rFonts w:cs="Arial"/>
        </w:rPr>
        <w:t xml:space="preserve">For the current 2015/16 financial year, there is a forecast variance of </w:t>
      </w:r>
      <w:r w:rsidRPr="004E3E0F">
        <w:rPr>
          <w:rFonts w:cs="Arial"/>
        </w:rPr>
        <w:t>£48.442m under performance,</w:t>
      </w:r>
      <w:r>
        <w:rPr>
          <w:rFonts w:cs="Arial"/>
        </w:rPr>
        <w:t xml:space="preserve"> which is analysed in Annex 2</w:t>
      </w:r>
      <w:r w:rsidR="00EE418D">
        <w:rPr>
          <w:rFonts w:cs="Arial"/>
        </w:rPr>
        <w:t>.</w:t>
      </w:r>
    </w:p>
    <w:p w:rsidR="00EE418D" w:rsidRPr="004E3E0F" w:rsidRDefault="00EE418D" w:rsidP="00EE418D">
      <w:pPr>
        <w:tabs>
          <w:tab w:val="left" w:pos="851"/>
          <w:tab w:val="left" w:pos="1418"/>
          <w:tab w:val="left" w:pos="1985"/>
          <w:tab w:val="left" w:pos="2268"/>
        </w:tabs>
        <w:spacing w:after="0"/>
        <w:outlineLvl w:val="0"/>
        <w:rPr>
          <w:rFonts w:cs="Arial"/>
        </w:rPr>
      </w:pPr>
    </w:p>
    <w:p w:rsidR="0035497C" w:rsidRDefault="0035497C" w:rsidP="00EE418D">
      <w:pPr>
        <w:tabs>
          <w:tab w:val="left" w:pos="851"/>
          <w:tab w:val="left" w:pos="1418"/>
          <w:tab w:val="left" w:pos="1985"/>
          <w:tab w:val="left" w:pos="2268"/>
        </w:tabs>
        <w:spacing w:after="0"/>
        <w:outlineLvl w:val="0"/>
        <w:rPr>
          <w:rFonts w:cs="Arial"/>
        </w:rPr>
      </w:pPr>
      <w:r w:rsidRPr="004E3E0F">
        <w:rPr>
          <w:rFonts w:cs="Arial"/>
        </w:rPr>
        <w:t>Over the three years 2015/16 to 2017/18 inclusive, the period for which the capital programme was set in February 2015, the County Council`s capital programme excluding City Deal schemes is sh</w:t>
      </w:r>
      <w:r w:rsidR="0048454A">
        <w:rPr>
          <w:rFonts w:cs="Arial"/>
        </w:rPr>
        <w:t>owing a forecast variance of £29.5</w:t>
      </w:r>
      <w:r w:rsidRPr="004E3E0F">
        <w:rPr>
          <w:rFonts w:cs="Arial"/>
        </w:rPr>
        <w:t>15m under</w:t>
      </w:r>
      <w:r w:rsidRPr="00B14FA2">
        <w:rPr>
          <w:rFonts w:cs="Arial"/>
        </w:rPr>
        <w:t xml:space="preserve"> performance against budget. The reasons for this are:</w:t>
      </w:r>
    </w:p>
    <w:p w:rsidR="00EE418D" w:rsidRDefault="00EE418D" w:rsidP="00EE418D">
      <w:pPr>
        <w:tabs>
          <w:tab w:val="left" w:pos="851"/>
          <w:tab w:val="left" w:pos="1418"/>
          <w:tab w:val="left" w:pos="1985"/>
          <w:tab w:val="left" w:pos="2268"/>
        </w:tabs>
        <w:spacing w:after="0"/>
        <w:outlineLvl w:val="0"/>
        <w:rPr>
          <w:rFonts w:cs="Arial"/>
        </w:rPr>
      </w:pPr>
    </w:p>
    <w:p w:rsidR="0035497C" w:rsidRPr="00D83528" w:rsidRDefault="0035497C" w:rsidP="0035497C">
      <w:pPr>
        <w:pStyle w:val="Body1"/>
        <w:numPr>
          <w:ilvl w:val="0"/>
          <w:numId w:val="47"/>
        </w:numPr>
        <w:tabs>
          <w:tab w:val="left" w:pos="851"/>
          <w:tab w:val="left" w:pos="1418"/>
          <w:tab w:val="left" w:pos="1985"/>
          <w:tab w:val="left" w:pos="2268"/>
        </w:tabs>
        <w:spacing w:after="0" w:line="240" w:lineRule="auto"/>
        <w:ind w:left="851" w:hanging="851"/>
        <w:jc w:val="both"/>
        <w:rPr>
          <w:rFonts w:cs="Arial"/>
          <w:bCs/>
          <w:i/>
          <w:szCs w:val="24"/>
        </w:rPr>
      </w:pPr>
      <w:r w:rsidRPr="00CF52FD">
        <w:rPr>
          <w:rFonts w:cs="Arial"/>
          <w:b/>
          <w:color w:val="auto"/>
          <w:szCs w:val="24"/>
        </w:rPr>
        <w:t>Schools block: total forecast underspend £4.555m</w:t>
      </w:r>
      <w:r w:rsidRPr="00CF52FD">
        <w:rPr>
          <w:rFonts w:cs="Arial"/>
          <w:color w:val="auto"/>
          <w:szCs w:val="24"/>
        </w:rPr>
        <w:t xml:space="preserve">. This </w:t>
      </w:r>
      <w:r w:rsidR="00F32527" w:rsidRPr="00CF52FD">
        <w:rPr>
          <w:rFonts w:cs="Arial"/>
          <w:color w:val="auto"/>
          <w:szCs w:val="24"/>
        </w:rPr>
        <w:t>budget is</w:t>
      </w:r>
      <w:r w:rsidRPr="00CF52FD">
        <w:rPr>
          <w:rFonts w:cs="Arial"/>
          <w:color w:val="auto"/>
          <w:szCs w:val="24"/>
        </w:rPr>
        <w:t xml:space="preserve"> </w:t>
      </w:r>
      <w:r w:rsidR="00F32527" w:rsidRPr="00CF52FD">
        <w:rPr>
          <w:rFonts w:cs="Arial"/>
          <w:color w:val="auto"/>
          <w:szCs w:val="24"/>
        </w:rPr>
        <w:t xml:space="preserve">the aggregate of </w:t>
      </w:r>
      <w:r w:rsidRPr="00CF52FD">
        <w:rPr>
          <w:rFonts w:cs="Arial"/>
          <w:bCs/>
          <w:szCs w:val="24"/>
        </w:rPr>
        <w:t xml:space="preserve">Devolved Formula Capital grant from DfE held for </w:t>
      </w:r>
      <w:r w:rsidR="00F32527" w:rsidRPr="00CF52FD">
        <w:rPr>
          <w:rFonts w:cs="Arial"/>
          <w:bCs/>
          <w:szCs w:val="24"/>
        </w:rPr>
        <w:t xml:space="preserve">individual </w:t>
      </w:r>
      <w:r w:rsidRPr="00CF52FD">
        <w:rPr>
          <w:rFonts w:cs="Arial"/>
          <w:bCs/>
          <w:szCs w:val="24"/>
        </w:rPr>
        <w:t xml:space="preserve">Schools use which has not yet been </w:t>
      </w:r>
      <w:r w:rsidR="00F32527" w:rsidRPr="00CF52FD">
        <w:rPr>
          <w:rFonts w:cs="Arial"/>
          <w:bCs/>
          <w:szCs w:val="24"/>
        </w:rPr>
        <w:t>spent by the individual schools</w:t>
      </w:r>
      <w:r w:rsidR="00F32527">
        <w:rPr>
          <w:rFonts w:cs="Arial"/>
          <w:bCs/>
          <w:szCs w:val="24"/>
        </w:rPr>
        <w:t>.</w:t>
      </w:r>
      <w:r w:rsidRPr="00D83528">
        <w:rPr>
          <w:rFonts w:cs="Arial"/>
          <w:bCs/>
          <w:szCs w:val="24"/>
        </w:rPr>
        <w:t xml:space="preserve"> </w:t>
      </w:r>
    </w:p>
    <w:p w:rsidR="0035497C" w:rsidRPr="00D83528" w:rsidRDefault="0035497C" w:rsidP="0035497C">
      <w:pPr>
        <w:pStyle w:val="Body1"/>
        <w:tabs>
          <w:tab w:val="left" w:pos="851"/>
          <w:tab w:val="left" w:pos="1418"/>
          <w:tab w:val="left" w:pos="1985"/>
          <w:tab w:val="left" w:pos="2268"/>
        </w:tabs>
        <w:spacing w:after="0" w:line="240" w:lineRule="auto"/>
        <w:jc w:val="both"/>
        <w:rPr>
          <w:rFonts w:cs="Arial"/>
          <w:bCs/>
          <w:i/>
          <w:szCs w:val="24"/>
        </w:rPr>
      </w:pPr>
    </w:p>
    <w:p w:rsidR="0035497C" w:rsidRPr="000C6E06" w:rsidRDefault="0035497C" w:rsidP="005B6038">
      <w:pPr>
        <w:pStyle w:val="Body1"/>
        <w:numPr>
          <w:ilvl w:val="0"/>
          <w:numId w:val="47"/>
        </w:numPr>
        <w:tabs>
          <w:tab w:val="left" w:pos="851"/>
          <w:tab w:val="left" w:pos="1418"/>
          <w:tab w:val="left" w:pos="1985"/>
          <w:tab w:val="left" w:pos="2268"/>
        </w:tabs>
        <w:spacing w:after="0" w:line="240" w:lineRule="auto"/>
        <w:ind w:left="851" w:hanging="851"/>
        <w:jc w:val="both"/>
        <w:rPr>
          <w:rFonts w:cs="Arial"/>
          <w:color w:val="auto"/>
        </w:rPr>
      </w:pPr>
      <w:r w:rsidRPr="000C6E06">
        <w:rPr>
          <w:rFonts w:cs="Arial"/>
          <w:b/>
          <w:color w:val="auto"/>
          <w:szCs w:val="24"/>
        </w:rPr>
        <w:t>Children and Young People block: total forecast under spend of £6.521m</w:t>
      </w:r>
      <w:r w:rsidRPr="000C6E06">
        <w:rPr>
          <w:rFonts w:cs="Arial"/>
          <w:color w:val="auto"/>
          <w:szCs w:val="24"/>
        </w:rPr>
        <w:t>.  This relates</w:t>
      </w:r>
      <w:r w:rsidR="000C6E06" w:rsidRPr="000C6E06">
        <w:rPr>
          <w:rFonts w:cs="Arial"/>
          <w:color w:val="auto"/>
          <w:szCs w:val="24"/>
        </w:rPr>
        <w:t xml:space="preserve"> mostly</w:t>
      </w:r>
      <w:r w:rsidRPr="000C6E06">
        <w:rPr>
          <w:rFonts w:cs="Arial"/>
          <w:color w:val="auto"/>
          <w:szCs w:val="24"/>
        </w:rPr>
        <w:t xml:space="preserve"> to un</w:t>
      </w:r>
      <w:r w:rsidR="005B6038" w:rsidRPr="000C6E06">
        <w:rPr>
          <w:rFonts w:cs="Arial"/>
          <w:color w:val="auto"/>
          <w:szCs w:val="24"/>
        </w:rPr>
        <w:t>-programmed activity as at Quarter 2 in relati</w:t>
      </w:r>
      <w:r w:rsidR="006203B4" w:rsidRPr="000C6E06">
        <w:rPr>
          <w:rFonts w:cs="Arial"/>
          <w:color w:val="auto"/>
          <w:szCs w:val="24"/>
        </w:rPr>
        <w:t>on to Youth Zone</w:t>
      </w:r>
      <w:r w:rsidR="000C6E06" w:rsidRPr="000C6E06">
        <w:rPr>
          <w:rFonts w:cs="Arial"/>
          <w:color w:val="auto"/>
          <w:szCs w:val="24"/>
        </w:rPr>
        <w:t>s</w:t>
      </w:r>
      <w:r w:rsidR="006203B4" w:rsidRPr="000C6E06">
        <w:rPr>
          <w:rFonts w:cs="Arial"/>
          <w:color w:val="auto"/>
          <w:szCs w:val="24"/>
        </w:rPr>
        <w:t xml:space="preserve"> </w:t>
      </w:r>
      <w:r w:rsidR="0048454A" w:rsidRPr="000C6E06">
        <w:rPr>
          <w:rFonts w:cs="Arial"/>
          <w:color w:val="auto"/>
          <w:szCs w:val="24"/>
        </w:rPr>
        <w:t>£</w:t>
      </w:r>
      <w:r w:rsidR="006203B4" w:rsidRPr="000C6E06">
        <w:rPr>
          <w:rFonts w:cs="Arial"/>
          <w:color w:val="auto"/>
          <w:szCs w:val="24"/>
        </w:rPr>
        <w:t xml:space="preserve">2.6m </w:t>
      </w:r>
      <w:r w:rsidR="00826647" w:rsidRPr="000C6E06">
        <w:rPr>
          <w:rFonts w:cs="Arial"/>
          <w:color w:val="auto"/>
          <w:szCs w:val="24"/>
        </w:rPr>
        <w:t xml:space="preserve">and Residential </w:t>
      </w:r>
      <w:r w:rsidR="005B6038" w:rsidRPr="000C6E06">
        <w:rPr>
          <w:rFonts w:cs="Arial"/>
          <w:color w:val="auto"/>
          <w:szCs w:val="24"/>
        </w:rPr>
        <w:t xml:space="preserve">Overnight Breaks </w:t>
      </w:r>
      <w:r w:rsidR="00826647" w:rsidRPr="000C6E06">
        <w:rPr>
          <w:rFonts w:cs="Arial"/>
          <w:color w:val="auto"/>
          <w:szCs w:val="24"/>
        </w:rPr>
        <w:t xml:space="preserve">for Children with </w:t>
      </w:r>
      <w:r w:rsidR="005B6038" w:rsidRPr="000C6E06">
        <w:rPr>
          <w:rFonts w:cs="Arial"/>
          <w:color w:val="auto"/>
          <w:szCs w:val="24"/>
        </w:rPr>
        <w:t>Disab</w:t>
      </w:r>
      <w:r w:rsidR="00826647" w:rsidRPr="000C6E06">
        <w:rPr>
          <w:rFonts w:cs="Arial"/>
          <w:color w:val="auto"/>
          <w:szCs w:val="24"/>
        </w:rPr>
        <w:t>ilities</w:t>
      </w:r>
      <w:r w:rsidR="005B6038" w:rsidRPr="000C6E06">
        <w:rPr>
          <w:rFonts w:cs="Arial"/>
          <w:color w:val="auto"/>
          <w:szCs w:val="24"/>
        </w:rPr>
        <w:t xml:space="preserve"> </w:t>
      </w:r>
      <w:r w:rsidR="0048454A" w:rsidRPr="000C6E06">
        <w:rPr>
          <w:rFonts w:cs="Arial"/>
          <w:color w:val="auto"/>
          <w:szCs w:val="24"/>
        </w:rPr>
        <w:t>£</w:t>
      </w:r>
      <w:r w:rsidR="005B6038" w:rsidRPr="000C6E06">
        <w:rPr>
          <w:rFonts w:cs="Arial"/>
          <w:color w:val="auto"/>
          <w:szCs w:val="24"/>
        </w:rPr>
        <w:t>2.7m</w:t>
      </w:r>
      <w:r w:rsidR="006203B4" w:rsidRPr="000C6E06">
        <w:rPr>
          <w:rFonts w:cs="Arial"/>
          <w:color w:val="auto"/>
          <w:szCs w:val="24"/>
        </w:rPr>
        <w:t>.  The authority is currently reviewing delivery options.</w:t>
      </w:r>
    </w:p>
    <w:p w:rsidR="008E2E36" w:rsidRPr="000C6E06" w:rsidRDefault="008E2E36" w:rsidP="008E2E36">
      <w:pPr>
        <w:pStyle w:val="ListParagraph"/>
        <w:rPr>
          <w:rFonts w:cs="Arial"/>
          <w:color w:val="auto"/>
        </w:rPr>
      </w:pPr>
    </w:p>
    <w:p w:rsidR="008E2E36" w:rsidRPr="000C6E06" w:rsidRDefault="008E2E36" w:rsidP="008E2E36">
      <w:pPr>
        <w:pStyle w:val="Body1"/>
        <w:tabs>
          <w:tab w:val="left" w:pos="851"/>
          <w:tab w:val="left" w:pos="1418"/>
          <w:tab w:val="left" w:pos="1985"/>
          <w:tab w:val="left" w:pos="2268"/>
        </w:tabs>
        <w:spacing w:after="0" w:line="240" w:lineRule="auto"/>
        <w:ind w:left="851"/>
        <w:jc w:val="both"/>
        <w:rPr>
          <w:rFonts w:cs="Arial"/>
          <w:color w:val="auto"/>
        </w:rPr>
      </w:pPr>
    </w:p>
    <w:p w:rsidR="0035497C" w:rsidRPr="00E301AD" w:rsidRDefault="0035497C" w:rsidP="00E301AD">
      <w:pPr>
        <w:pStyle w:val="Body1"/>
        <w:numPr>
          <w:ilvl w:val="0"/>
          <w:numId w:val="47"/>
        </w:numPr>
        <w:tabs>
          <w:tab w:val="left" w:pos="851"/>
          <w:tab w:val="left" w:pos="1418"/>
          <w:tab w:val="left" w:pos="1985"/>
          <w:tab w:val="left" w:pos="2268"/>
        </w:tabs>
        <w:spacing w:after="0" w:line="240" w:lineRule="auto"/>
        <w:ind w:left="851" w:hanging="851"/>
        <w:jc w:val="both"/>
        <w:rPr>
          <w:rFonts w:cs="Arial"/>
        </w:rPr>
      </w:pPr>
      <w:r w:rsidRPr="00E301AD">
        <w:rPr>
          <w:rFonts w:cs="Arial"/>
          <w:b/>
        </w:rPr>
        <w:lastRenderedPageBreak/>
        <w:t>Highways block: total forecast under spend of £3.702m</w:t>
      </w:r>
      <w:r w:rsidRPr="00E301AD">
        <w:rPr>
          <w:rFonts w:cs="Arial"/>
        </w:rPr>
        <w:t xml:space="preserve">. The main items are: £3.233m relating to the M65 Crash Barriers and £0.368m relating to 2014/15 Unclassified Rural and £0.220 relating to 2014/15 ABC Roads. The forecast underspend re M65 Crash Barriers is due to external grants from DfT releasing resources. </w:t>
      </w:r>
      <w:r w:rsidR="005B6038" w:rsidRPr="00E301AD">
        <w:rPr>
          <w:rFonts w:cs="Arial"/>
        </w:rPr>
        <w:t xml:space="preserve">The 2014/15 Roads underspends </w:t>
      </w:r>
      <w:r w:rsidR="00826647" w:rsidRPr="00E301AD">
        <w:rPr>
          <w:rFonts w:cs="Arial"/>
        </w:rPr>
        <w:t>were due to efficiencies in delivering the programmes of work.</w:t>
      </w:r>
      <w:r w:rsidRPr="00E301AD">
        <w:rPr>
          <w:rFonts w:cs="Arial"/>
          <w:i/>
          <w:color w:val="FF0000"/>
        </w:rPr>
        <w:t xml:space="preserve"> </w:t>
      </w:r>
      <w:r w:rsidRPr="00E301AD">
        <w:rPr>
          <w:rFonts w:cs="Arial"/>
          <w:color w:val="FF0000"/>
        </w:rPr>
        <w:t xml:space="preserve"> </w:t>
      </w:r>
    </w:p>
    <w:p w:rsidR="00E301AD" w:rsidRPr="00E301AD" w:rsidRDefault="00E301AD" w:rsidP="00E301AD">
      <w:pPr>
        <w:pStyle w:val="Body1"/>
        <w:tabs>
          <w:tab w:val="left" w:pos="851"/>
          <w:tab w:val="left" w:pos="1418"/>
          <w:tab w:val="left" w:pos="1985"/>
          <w:tab w:val="left" w:pos="2268"/>
        </w:tabs>
        <w:spacing w:after="0" w:line="240" w:lineRule="auto"/>
        <w:ind w:left="851"/>
        <w:jc w:val="both"/>
        <w:rPr>
          <w:rFonts w:cs="Arial"/>
        </w:rPr>
      </w:pPr>
    </w:p>
    <w:p w:rsidR="0035497C" w:rsidRPr="000C6E06" w:rsidRDefault="0035497C" w:rsidP="0035497C">
      <w:pPr>
        <w:pStyle w:val="Body1"/>
        <w:numPr>
          <w:ilvl w:val="0"/>
          <w:numId w:val="47"/>
        </w:numPr>
        <w:tabs>
          <w:tab w:val="left" w:pos="851"/>
          <w:tab w:val="left" w:pos="1418"/>
          <w:tab w:val="left" w:pos="1985"/>
          <w:tab w:val="left" w:pos="2268"/>
        </w:tabs>
        <w:spacing w:after="0" w:line="240" w:lineRule="auto"/>
        <w:ind w:left="851" w:hanging="851"/>
        <w:jc w:val="both"/>
        <w:rPr>
          <w:rFonts w:cs="Arial"/>
          <w:color w:val="auto"/>
        </w:rPr>
      </w:pPr>
      <w:r w:rsidRPr="000C6E06">
        <w:rPr>
          <w:rFonts w:cs="Arial"/>
          <w:b/>
          <w:color w:val="auto"/>
        </w:rPr>
        <w:t xml:space="preserve">Transport block: total forecast over spend £1.580m. </w:t>
      </w:r>
      <w:r w:rsidRPr="000C6E06">
        <w:rPr>
          <w:rFonts w:cs="Arial"/>
          <w:color w:val="auto"/>
        </w:rPr>
        <w:t>This is made up of</w:t>
      </w:r>
      <w:r w:rsidRPr="000C6E06">
        <w:rPr>
          <w:rFonts w:cs="Arial"/>
          <w:b/>
          <w:color w:val="auto"/>
        </w:rPr>
        <w:t xml:space="preserve"> </w:t>
      </w:r>
      <w:r w:rsidR="005B6038" w:rsidRPr="000C6E06">
        <w:rPr>
          <w:rFonts w:cs="Arial"/>
          <w:b/>
          <w:color w:val="auto"/>
        </w:rPr>
        <w:t xml:space="preserve">a </w:t>
      </w:r>
      <w:r w:rsidRPr="000C6E06">
        <w:rPr>
          <w:rFonts w:cs="Arial"/>
          <w:color w:val="auto"/>
        </w:rPr>
        <w:t xml:space="preserve">forecast underspend relating to Eaves Green Link Road (£0.561) and </w:t>
      </w:r>
      <w:r w:rsidR="005B6038" w:rsidRPr="000C6E06">
        <w:rPr>
          <w:rFonts w:cs="Arial"/>
          <w:color w:val="auto"/>
        </w:rPr>
        <w:t xml:space="preserve">budget previously allocated to the now deferred </w:t>
      </w:r>
      <w:r w:rsidRPr="000C6E06">
        <w:rPr>
          <w:rFonts w:cs="Arial"/>
          <w:color w:val="auto"/>
        </w:rPr>
        <w:t>Green Lane Link (£1.150) and a forecast overspend on the Heysham to M6 Link Road</w:t>
      </w:r>
      <w:r w:rsidRPr="000C6E06">
        <w:rPr>
          <w:rFonts w:cs="Arial"/>
        </w:rPr>
        <w:t>, caused by an additional £4m of event compensation payments.</w:t>
      </w:r>
    </w:p>
    <w:p w:rsidR="0035497C" w:rsidRPr="00DA0869" w:rsidRDefault="0035497C" w:rsidP="0035497C">
      <w:pPr>
        <w:pStyle w:val="Body1"/>
        <w:tabs>
          <w:tab w:val="left" w:pos="851"/>
          <w:tab w:val="left" w:pos="1418"/>
          <w:tab w:val="left" w:pos="1985"/>
          <w:tab w:val="left" w:pos="2268"/>
        </w:tabs>
        <w:spacing w:after="0" w:line="240" w:lineRule="auto"/>
        <w:ind w:left="851"/>
        <w:jc w:val="both"/>
        <w:rPr>
          <w:rFonts w:cs="Arial"/>
          <w:color w:val="auto"/>
        </w:rPr>
      </w:pPr>
    </w:p>
    <w:p w:rsidR="0035497C" w:rsidRPr="00E22248" w:rsidRDefault="0035497C" w:rsidP="00E301AD">
      <w:pPr>
        <w:pStyle w:val="Body1"/>
        <w:tabs>
          <w:tab w:val="left" w:pos="851"/>
          <w:tab w:val="left" w:pos="1418"/>
          <w:tab w:val="left" w:pos="1985"/>
          <w:tab w:val="left" w:pos="2268"/>
        </w:tabs>
        <w:spacing w:after="0" w:line="240" w:lineRule="auto"/>
        <w:ind w:left="851"/>
        <w:jc w:val="both"/>
        <w:rPr>
          <w:rFonts w:cs="Arial"/>
          <w:color w:val="auto"/>
          <w:szCs w:val="24"/>
        </w:rPr>
      </w:pPr>
      <w:r>
        <w:rPr>
          <w:rFonts w:cs="Arial"/>
        </w:rPr>
        <w:t>In addition it</w:t>
      </w:r>
      <w:r w:rsidRPr="003D54E1">
        <w:rPr>
          <w:rFonts w:cs="Arial"/>
        </w:rPr>
        <w:t xml:space="preserve"> should be noted that the Heysham to M6 Link Road project </w:t>
      </w:r>
      <w:r>
        <w:rPr>
          <w:rFonts w:cs="Arial"/>
        </w:rPr>
        <w:t>was</w:t>
      </w:r>
      <w:r w:rsidRPr="003D54E1">
        <w:rPr>
          <w:rFonts w:cs="Arial"/>
        </w:rPr>
        <w:t xml:space="preserve"> included in the Council`s capital programme at a value consistent with the amount of funding authorised in the programme not the value of the contract spend authorised in separate Cabinet reports. The difference is £3.772m, which has been consistently flagged as a risk requiring further funding.  It is now clear that this extra funding will be required, and the current proposal</w:t>
      </w:r>
      <w:r>
        <w:rPr>
          <w:rFonts w:cs="Arial"/>
        </w:rPr>
        <w:t xml:space="preserve"> is to fund this from borrowing. This</w:t>
      </w:r>
      <w:r w:rsidRPr="00736F10">
        <w:rPr>
          <w:rFonts w:cs="Arial"/>
          <w:color w:val="FF0000"/>
        </w:rPr>
        <w:t xml:space="preserve"> </w:t>
      </w:r>
      <w:r w:rsidRPr="005804A7">
        <w:rPr>
          <w:rFonts w:cs="Arial"/>
          <w:color w:val="auto"/>
        </w:rPr>
        <w:t xml:space="preserve">has therefore been included in the draft 2016/17 programme presented in </w:t>
      </w:r>
      <w:r>
        <w:rPr>
          <w:rFonts w:cs="Arial"/>
          <w:color w:val="auto"/>
        </w:rPr>
        <w:t>the Cabinet Report to which this Appendix is attached.</w:t>
      </w:r>
      <w:r w:rsidRPr="005804A7">
        <w:rPr>
          <w:rFonts w:cs="Arial"/>
          <w:color w:val="auto"/>
        </w:rPr>
        <w:t xml:space="preserve"> </w:t>
      </w:r>
    </w:p>
    <w:p w:rsidR="0035497C" w:rsidRPr="00DA0869" w:rsidRDefault="0035497C" w:rsidP="0035497C">
      <w:pPr>
        <w:pStyle w:val="Body1"/>
        <w:tabs>
          <w:tab w:val="left" w:pos="851"/>
          <w:tab w:val="left" w:pos="1418"/>
          <w:tab w:val="left" w:pos="1985"/>
          <w:tab w:val="left" w:pos="2268"/>
        </w:tabs>
        <w:spacing w:after="0" w:line="240" w:lineRule="auto"/>
        <w:jc w:val="both"/>
        <w:rPr>
          <w:rFonts w:cs="Arial"/>
          <w:color w:val="auto"/>
        </w:rPr>
      </w:pPr>
    </w:p>
    <w:p w:rsidR="0035497C" w:rsidRDefault="0035497C" w:rsidP="001C2B1E">
      <w:pPr>
        <w:pStyle w:val="ListParagraph"/>
        <w:numPr>
          <w:ilvl w:val="0"/>
          <w:numId w:val="47"/>
        </w:numPr>
        <w:spacing w:after="0"/>
        <w:ind w:left="851" w:hanging="851"/>
        <w:rPr>
          <w:rFonts w:cs="Arial"/>
          <w:bCs/>
        </w:rPr>
      </w:pPr>
      <w:r w:rsidRPr="00E301AD">
        <w:rPr>
          <w:rFonts w:cs="Arial"/>
          <w:b/>
          <w:bCs/>
        </w:rPr>
        <w:t>Waste and other projects block</w:t>
      </w:r>
      <w:r w:rsidRPr="00E301AD">
        <w:rPr>
          <w:rFonts w:cs="Arial"/>
          <w:bCs/>
        </w:rPr>
        <w:t xml:space="preserve">: </w:t>
      </w:r>
      <w:r w:rsidRPr="00E301AD">
        <w:rPr>
          <w:rFonts w:cs="Arial"/>
          <w:b/>
          <w:bCs/>
        </w:rPr>
        <w:t xml:space="preserve">total forecast under spend of </w:t>
      </w:r>
      <w:r w:rsidRPr="00E301AD">
        <w:rPr>
          <w:rFonts w:cs="Arial"/>
          <w:b/>
          <w:bCs/>
          <w:color w:val="auto"/>
        </w:rPr>
        <w:t>£1.592m</w:t>
      </w:r>
      <w:r w:rsidRPr="00E301AD">
        <w:rPr>
          <w:rFonts w:cs="Arial"/>
          <w:bCs/>
          <w:color w:val="auto"/>
        </w:rPr>
        <w:t xml:space="preserve"> </w:t>
      </w:r>
      <w:r w:rsidRPr="00E301AD">
        <w:rPr>
          <w:rFonts w:cs="Arial"/>
          <w:bCs/>
        </w:rPr>
        <w:t xml:space="preserve">relates to funding no longer required on the completed Liquid Logic project which replaced ISSIS. </w:t>
      </w:r>
    </w:p>
    <w:p w:rsidR="00E301AD" w:rsidRPr="00E301AD" w:rsidRDefault="00E301AD" w:rsidP="00E301AD">
      <w:pPr>
        <w:pStyle w:val="ListParagraph"/>
        <w:spacing w:after="0"/>
        <w:ind w:left="851"/>
        <w:rPr>
          <w:rFonts w:cs="Arial"/>
          <w:bCs/>
        </w:rPr>
      </w:pPr>
    </w:p>
    <w:p w:rsidR="0035497C" w:rsidRDefault="0035497C" w:rsidP="00E301AD">
      <w:pPr>
        <w:pStyle w:val="ListParagraph"/>
        <w:spacing w:after="0"/>
        <w:ind w:left="851"/>
        <w:rPr>
          <w:rFonts w:cs="Arial"/>
          <w:bCs/>
        </w:rPr>
      </w:pPr>
      <w:r w:rsidRPr="00AB3B65">
        <w:rPr>
          <w:rFonts w:cs="Arial"/>
          <w:bCs/>
        </w:rPr>
        <w:t>In addition, a spend of £7.807m has been forecast for 2016/17 and 2017/18 against the equivalent budget for a Waste trans</w:t>
      </w:r>
      <w:r>
        <w:rPr>
          <w:rFonts w:cs="Arial"/>
          <w:bCs/>
        </w:rPr>
        <w:t>fer station in East Lancashire, but a</w:t>
      </w:r>
      <w:r w:rsidRPr="00AB3B65">
        <w:rPr>
          <w:rFonts w:cs="Arial"/>
          <w:bCs/>
        </w:rPr>
        <w:t xml:space="preserve"> project ha</w:t>
      </w:r>
      <w:r>
        <w:rPr>
          <w:rFonts w:cs="Arial"/>
          <w:bCs/>
        </w:rPr>
        <w:t>s not yet been identified</w:t>
      </w:r>
      <w:r w:rsidRPr="00AB3B65">
        <w:rPr>
          <w:rFonts w:cs="Arial"/>
          <w:bCs/>
        </w:rPr>
        <w:t>.</w:t>
      </w:r>
    </w:p>
    <w:p w:rsidR="0035497C" w:rsidRDefault="0035497C" w:rsidP="0035497C">
      <w:pPr>
        <w:pStyle w:val="Body1"/>
        <w:tabs>
          <w:tab w:val="left" w:pos="851"/>
          <w:tab w:val="left" w:pos="1418"/>
          <w:tab w:val="left" w:pos="1985"/>
          <w:tab w:val="left" w:pos="2268"/>
        </w:tabs>
        <w:spacing w:after="0" w:line="240" w:lineRule="auto"/>
        <w:jc w:val="both"/>
        <w:rPr>
          <w:rFonts w:cs="Arial"/>
          <w:bCs/>
          <w:szCs w:val="24"/>
        </w:rPr>
      </w:pPr>
    </w:p>
    <w:p w:rsidR="0035497C" w:rsidRPr="00E301AD" w:rsidRDefault="0035497C" w:rsidP="009A2C5C">
      <w:pPr>
        <w:pStyle w:val="Body1"/>
        <w:numPr>
          <w:ilvl w:val="0"/>
          <w:numId w:val="47"/>
        </w:numPr>
        <w:tabs>
          <w:tab w:val="left" w:pos="851"/>
          <w:tab w:val="left" w:pos="1418"/>
          <w:tab w:val="left" w:pos="1985"/>
          <w:tab w:val="left" w:pos="2268"/>
        </w:tabs>
        <w:spacing w:after="0" w:line="240" w:lineRule="auto"/>
        <w:ind w:left="851" w:hanging="851"/>
        <w:jc w:val="both"/>
        <w:rPr>
          <w:rFonts w:cs="Arial"/>
          <w:b/>
        </w:rPr>
      </w:pPr>
      <w:r w:rsidRPr="00E301AD">
        <w:rPr>
          <w:rFonts w:cs="Arial"/>
          <w:b/>
          <w:color w:val="auto"/>
        </w:rPr>
        <w:t>Adult Social Care block, total forecast under spend of £8.464m</w:t>
      </w:r>
      <w:r w:rsidRPr="00E301AD">
        <w:rPr>
          <w:rFonts w:cs="Arial"/>
          <w:color w:val="auto"/>
        </w:rPr>
        <w:t xml:space="preserve">.  This is made up of three major items.  Firstly £0.829m of unallocated budget for the Learning Disability </w:t>
      </w:r>
      <w:proofErr w:type="spellStart"/>
      <w:r w:rsidRPr="00E301AD">
        <w:rPr>
          <w:rFonts w:cs="Arial"/>
          <w:color w:val="auto"/>
        </w:rPr>
        <w:t>Daycare</w:t>
      </w:r>
      <w:proofErr w:type="spellEnd"/>
      <w:r w:rsidRPr="00E301AD">
        <w:rPr>
          <w:rFonts w:cs="Arial"/>
          <w:color w:val="auto"/>
        </w:rPr>
        <w:t xml:space="preserve"> modernisation programme, awaiting identification of a project in East Lancashire, and secondly, £5.573m allocate</w:t>
      </w:r>
      <w:r w:rsidR="005B6038" w:rsidRPr="00E301AD">
        <w:rPr>
          <w:rFonts w:cs="Arial"/>
          <w:color w:val="auto"/>
        </w:rPr>
        <w:t>d for LCC's Extra Care Strategy. Whilst investment in Extra Care Housing is a policy priority for the Council, only schemes which are unviable commercially without a County Council contribution are supported.</w:t>
      </w:r>
      <w:r w:rsidR="00826647" w:rsidRPr="00E301AD">
        <w:rPr>
          <w:rFonts w:cs="Arial"/>
          <w:color w:val="auto"/>
        </w:rPr>
        <w:t xml:space="preserve"> </w:t>
      </w:r>
      <w:r w:rsidR="0048454A" w:rsidRPr="00E301AD">
        <w:rPr>
          <w:rFonts w:cs="Arial"/>
          <w:color w:val="auto"/>
        </w:rPr>
        <w:t xml:space="preserve"> </w:t>
      </w:r>
      <w:r w:rsidR="005B6038" w:rsidRPr="00E301AD">
        <w:rPr>
          <w:rFonts w:cs="Arial"/>
          <w:color w:val="auto"/>
        </w:rPr>
        <w:t>Potential schemes where a viable business case can be presented will be supported as they come forward.</w:t>
      </w:r>
      <w:r w:rsidRPr="00E301AD">
        <w:rPr>
          <w:rFonts w:cs="Arial"/>
          <w:color w:val="auto"/>
        </w:rPr>
        <w:t xml:space="preserve">  Finally, there is un-programmed budget for the Libraries Regenerate programme totalling £1.885m. </w:t>
      </w:r>
    </w:p>
    <w:p w:rsidR="00E301AD" w:rsidRPr="00E301AD" w:rsidRDefault="00E301AD" w:rsidP="00E301AD">
      <w:pPr>
        <w:pStyle w:val="Body1"/>
        <w:tabs>
          <w:tab w:val="left" w:pos="851"/>
          <w:tab w:val="left" w:pos="1418"/>
          <w:tab w:val="left" w:pos="1985"/>
          <w:tab w:val="left" w:pos="2268"/>
        </w:tabs>
        <w:spacing w:after="0" w:line="240" w:lineRule="auto"/>
        <w:ind w:left="851"/>
        <w:jc w:val="both"/>
        <w:rPr>
          <w:rFonts w:cs="Arial"/>
          <w:b/>
        </w:rPr>
      </w:pPr>
    </w:p>
    <w:p w:rsidR="0035497C" w:rsidRPr="000C6E06" w:rsidRDefault="0035497C" w:rsidP="0035497C">
      <w:pPr>
        <w:pStyle w:val="Body1"/>
        <w:numPr>
          <w:ilvl w:val="0"/>
          <w:numId w:val="47"/>
        </w:numPr>
        <w:tabs>
          <w:tab w:val="left" w:pos="851"/>
          <w:tab w:val="left" w:pos="1418"/>
          <w:tab w:val="left" w:pos="1985"/>
          <w:tab w:val="left" w:pos="2268"/>
        </w:tabs>
        <w:spacing w:after="0" w:line="240" w:lineRule="auto"/>
        <w:ind w:left="851" w:hanging="851"/>
        <w:jc w:val="both"/>
        <w:rPr>
          <w:rFonts w:cs="Arial"/>
        </w:rPr>
      </w:pPr>
      <w:r w:rsidRPr="000C6E06">
        <w:rPr>
          <w:rFonts w:cs="Arial"/>
          <w:b/>
          <w:szCs w:val="24"/>
        </w:rPr>
        <w:t>Corporate block, total forecast under spend of £</w:t>
      </w:r>
      <w:r w:rsidR="00D147D3" w:rsidRPr="000C6E06">
        <w:rPr>
          <w:rFonts w:cs="Arial"/>
          <w:b/>
          <w:szCs w:val="24"/>
        </w:rPr>
        <w:t>6.261</w:t>
      </w:r>
      <w:r w:rsidRPr="000C6E06">
        <w:rPr>
          <w:rFonts w:cs="Arial"/>
          <w:b/>
          <w:color w:val="auto"/>
          <w:szCs w:val="24"/>
        </w:rPr>
        <w:t>m,</w:t>
      </w:r>
      <w:r w:rsidRPr="000C6E06">
        <w:rPr>
          <w:rFonts w:cs="Arial"/>
          <w:color w:val="auto"/>
          <w:szCs w:val="24"/>
        </w:rPr>
        <w:t xml:space="preserve"> made up mainly of an</w:t>
      </w:r>
      <w:r w:rsidRPr="000C6E06">
        <w:rPr>
          <w:rFonts w:cs="Arial"/>
          <w:szCs w:val="24"/>
        </w:rPr>
        <w:t xml:space="preserve"> un-programmed E</w:t>
      </w:r>
      <w:r w:rsidR="008C40D3" w:rsidRPr="000C6E06">
        <w:rPr>
          <w:rFonts w:cs="Arial"/>
          <w:szCs w:val="24"/>
        </w:rPr>
        <w:t>conomic Development budget of £5.619</w:t>
      </w:r>
      <w:r w:rsidRPr="000C6E06">
        <w:rPr>
          <w:rFonts w:cs="Arial"/>
          <w:szCs w:val="24"/>
        </w:rPr>
        <w:t xml:space="preserve"> and a forecast underspend on Superfast Broadband Phase 1 of £1.2m.</w:t>
      </w:r>
      <w:r w:rsidR="008C40D3" w:rsidRPr="000C6E06">
        <w:rPr>
          <w:rFonts w:cs="Arial"/>
          <w:szCs w:val="24"/>
        </w:rPr>
        <w:t xml:space="preserve"> This was the forecast position as at 30</w:t>
      </w:r>
      <w:r w:rsidR="008C40D3" w:rsidRPr="000C6E06">
        <w:rPr>
          <w:rFonts w:cs="Arial"/>
          <w:szCs w:val="24"/>
          <w:vertAlign w:val="superscript"/>
        </w:rPr>
        <w:t>th</w:t>
      </w:r>
      <w:r w:rsidR="008C40D3" w:rsidRPr="000C6E06">
        <w:rPr>
          <w:rFonts w:cs="Arial"/>
          <w:szCs w:val="24"/>
        </w:rPr>
        <w:t xml:space="preserve"> September 2015.</w:t>
      </w:r>
      <w:r w:rsidR="00DD1439" w:rsidRPr="000C6E06">
        <w:rPr>
          <w:rFonts w:cs="Arial"/>
          <w:szCs w:val="24"/>
        </w:rPr>
        <w:t xml:space="preserve"> </w:t>
      </w:r>
      <w:r w:rsidR="00BA5584" w:rsidRPr="000C6E06">
        <w:rPr>
          <w:rFonts w:cs="Arial"/>
          <w:szCs w:val="24"/>
        </w:rPr>
        <w:t>Since then it</w:t>
      </w:r>
      <w:r w:rsidR="000C6E06">
        <w:rPr>
          <w:rFonts w:cs="Arial"/>
          <w:szCs w:val="24"/>
        </w:rPr>
        <w:t xml:space="preserve"> has been</w:t>
      </w:r>
      <w:r w:rsidR="00BA5584" w:rsidRPr="000C6E06">
        <w:rPr>
          <w:rFonts w:cs="Arial"/>
          <w:szCs w:val="24"/>
        </w:rPr>
        <w:t xml:space="preserve"> proposed that £3.7m be allocated to fund Phase 2 of the development study for the Skelmersdale Rail Link.  The balance of the funding will be utilised to unlock further development opportunities including a potential scheme for Lo</w:t>
      </w:r>
      <w:r w:rsidR="00CF52FD" w:rsidRPr="000C6E06">
        <w:rPr>
          <w:rFonts w:cs="Arial"/>
          <w:szCs w:val="24"/>
        </w:rPr>
        <w:t>meshaye Industri</w:t>
      </w:r>
      <w:r w:rsidR="00BA5584" w:rsidRPr="000C6E06">
        <w:rPr>
          <w:rFonts w:cs="Arial"/>
          <w:szCs w:val="24"/>
        </w:rPr>
        <w:t>al Estate, Pendle.</w:t>
      </w:r>
    </w:p>
    <w:p w:rsidR="0035497C" w:rsidRDefault="0035497C" w:rsidP="0035497C">
      <w:pPr>
        <w:tabs>
          <w:tab w:val="left" w:pos="851"/>
          <w:tab w:val="left" w:pos="1418"/>
          <w:tab w:val="left" w:pos="1985"/>
          <w:tab w:val="left" w:pos="2268"/>
        </w:tabs>
        <w:outlineLvl w:val="0"/>
        <w:rPr>
          <w:rFonts w:cs="Arial"/>
        </w:rPr>
      </w:pPr>
    </w:p>
    <w:p w:rsidR="0035497C" w:rsidRDefault="0035497C" w:rsidP="00E301AD">
      <w:pPr>
        <w:spacing w:after="0"/>
      </w:pPr>
      <w:r>
        <w:lastRenderedPageBreak/>
        <w:t xml:space="preserve">The difference between the current total capital programme of £696.356m and the position presented at the 2014/15 Money Matters Out turn report (Table 1) of £49.925m relates to additional Cabinet approved projects and revisions to previously estimated funding.  Annex 2 provides more detail on the capital monitoring position for quarter 2 as </w:t>
      </w:r>
      <w:r w:rsidRPr="005372D8">
        <w:t>at 30</w:t>
      </w:r>
      <w:r w:rsidRPr="005372D8">
        <w:rPr>
          <w:vertAlign w:val="superscript"/>
        </w:rPr>
        <w:t>th</w:t>
      </w:r>
      <w:r w:rsidRPr="005372D8">
        <w:t xml:space="preserve"> September 201</w:t>
      </w:r>
      <w:r>
        <w:t>5</w:t>
      </w:r>
      <w:r w:rsidRPr="005372D8">
        <w:t>.</w:t>
      </w:r>
    </w:p>
    <w:p w:rsidR="00E301AD" w:rsidRDefault="00E301AD" w:rsidP="0035497C">
      <w:pPr>
        <w:rPr>
          <w:b/>
          <w:u w:val="single"/>
        </w:rPr>
      </w:pPr>
    </w:p>
    <w:p w:rsidR="0035497C" w:rsidRPr="00E2340F" w:rsidRDefault="0035497C" w:rsidP="00E301AD">
      <w:pPr>
        <w:spacing w:after="0"/>
        <w:rPr>
          <w:b/>
          <w:u w:val="single"/>
        </w:rPr>
      </w:pPr>
      <w:r>
        <w:rPr>
          <w:b/>
          <w:u w:val="single"/>
        </w:rPr>
        <w:t>Completed Projects or those considered as no-longer necessary</w:t>
      </w:r>
    </w:p>
    <w:p w:rsidR="0035497C" w:rsidRDefault="0035497C" w:rsidP="0035497C">
      <w:pPr>
        <w:tabs>
          <w:tab w:val="left" w:pos="851"/>
          <w:tab w:val="left" w:pos="1418"/>
          <w:tab w:val="left" w:pos="1985"/>
          <w:tab w:val="left" w:pos="2268"/>
        </w:tabs>
        <w:rPr>
          <w:rFonts w:cs="Arial"/>
        </w:rPr>
      </w:pPr>
    </w:p>
    <w:p w:rsidR="0035497C" w:rsidRDefault="0035497C" w:rsidP="00E301AD">
      <w:pPr>
        <w:tabs>
          <w:tab w:val="left" w:pos="851"/>
          <w:tab w:val="left" w:pos="1418"/>
          <w:tab w:val="left" w:pos="1985"/>
          <w:tab w:val="left" w:pos="2268"/>
        </w:tabs>
        <w:spacing w:after="0"/>
        <w:rPr>
          <w:rFonts w:cs="Arial"/>
        </w:rPr>
      </w:pPr>
      <w:r>
        <w:rPr>
          <w:rFonts w:cs="Arial"/>
        </w:rPr>
        <w:t>Table 2 identifies the current level of un-programmed activity for projects deemed either complete or potentially not needed against the agreed programme:</w:t>
      </w:r>
    </w:p>
    <w:p w:rsidR="0035497C" w:rsidRDefault="0035497C" w:rsidP="0035497C">
      <w:pPr>
        <w:tabs>
          <w:tab w:val="left" w:pos="851"/>
          <w:tab w:val="left" w:pos="1418"/>
          <w:tab w:val="left" w:pos="1985"/>
          <w:tab w:val="left" w:pos="2268"/>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094"/>
        <w:gridCol w:w="1012"/>
        <w:gridCol w:w="1012"/>
        <w:gridCol w:w="1055"/>
      </w:tblGrid>
      <w:tr w:rsidR="0035497C" w:rsidRPr="003D279B" w:rsidTr="00F32527">
        <w:tc>
          <w:tcPr>
            <w:tcW w:w="5070" w:type="dxa"/>
            <w:shd w:val="clear" w:color="auto" w:fill="auto"/>
          </w:tcPr>
          <w:p w:rsidR="0035497C" w:rsidRPr="00E56403" w:rsidRDefault="0035497C" w:rsidP="00F32527">
            <w:pPr>
              <w:tabs>
                <w:tab w:val="left" w:pos="851"/>
                <w:tab w:val="left" w:pos="1418"/>
                <w:tab w:val="left" w:pos="1985"/>
                <w:tab w:val="left" w:pos="2268"/>
              </w:tabs>
              <w:rPr>
                <w:rFonts w:cs="Arial"/>
                <w:b/>
                <w:sz w:val="22"/>
              </w:rPr>
            </w:pPr>
            <w:r w:rsidRPr="00E56403">
              <w:rPr>
                <w:rFonts w:cs="Arial"/>
                <w:b/>
                <w:sz w:val="22"/>
              </w:rPr>
              <w:t>Table 2</w:t>
            </w:r>
          </w:p>
        </w:tc>
        <w:tc>
          <w:tcPr>
            <w:tcW w:w="1094" w:type="dxa"/>
            <w:shd w:val="clear" w:color="auto" w:fill="auto"/>
          </w:tcPr>
          <w:p w:rsidR="0035497C" w:rsidRPr="003D279B" w:rsidRDefault="0035497C" w:rsidP="00F32527">
            <w:pPr>
              <w:tabs>
                <w:tab w:val="left" w:pos="851"/>
                <w:tab w:val="left" w:pos="1418"/>
                <w:tab w:val="left" w:pos="1985"/>
                <w:tab w:val="left" w:pos="2268"/>
              </w:tabs>
              <w:jc w:val="center"/>
              <w:rPr>
                <w:rFonts w:cs="Arial"/>
                <w:b/>
                <w:sz w:val="22"/>
              </w:rPr>
            </w:pPr>
            <w:r w:rsidRPr="003D279B">
              <w:rPr>
                <w:rFonts w:cs="Arial"/>
                <w:b/>
                <w:sz w:val="22"/>
              </w:rPr>
              <w:t>2015/16 £m</w:t>
            </w:r>
          </w:p>
        </w:tc>
        <w:tc>
          <w:tcPr>
            <w:tcW w:w="1012" w:type="dxa"/>
            <w:shd w:val="clear" w:color="auto" w:fill="auto"/>
          </w:tcPr>
          <w:p w:rsidR="0035497C" w:rsidRPr="003D279B" w:rsidRDefault="0035497C" w:rsidP="00F32527">
            <w:pPr>
              <w:tabs>
                <w:tab w:val="left" w:pos="851"/>
                <w:tab w:val="left" w:pos="1418"/>
                <w:tab w:val="left" w:pos="1985"/>
                <w:tab w:val="left" w:pos="2268"/>
              </w:tabs>
              <w:jc w:val="center"/>
              <w:rPr>
                <w:rFonts w:cs="Arial"/>
                <w:b/>
                <w:sz w:val="22"/>
              </w:rPr>
            </w:pPr>
            <w:r w:rsidRPr="003D279B">
              <w:rPr>
                <w:rFonts w:cs="Arial"/>
                <w:b/>
                <w:sz w:val="22"/>
              </w:rPr>
              <w:t>2016/17 £m</w:t>
            </w:r>
          </w:p>
        </w:tc>
        <w:tc>
          <w:tcPr>
            <w:tcW w:w="1012" w:type="dxa"/>
            <w:shd w:val="clear" w:color="auto" w:fill="auto"/>
          </w:tcPr>
          <w:p w:rsidR="0035497C" w:rsidRPr="003D279B" w:rsidRDefault="0035497C" w:rsidP="00F32527">
            <w:pPr>
              <w:tabs>
                <w:tab w:val="left" w:pos="851"/>
                <w:tab w:val="left" w:pos="1418"/>
                <w:tab w:val="left" w:pos="1985"/>
                <w:tab w:val="left" w:pos="2268"/>
              </w:tabs>
              <w:jc w:val="center"/>
              <w:rPr>
                <w:rFonts w:cs="Arial"/>
                <w:b/>
                <w:sz w:val="22"/>
              </w:rPr>
            </w:pPr>
            <w:r w:rsidRPr="003D279B">
              <w:rPr>
                <w:rFonts w:cs="Arial"/>
                <w:b/>
                <w:sz w:val="22"/>
              </w:rPr>
              <w:t>2017/18 £m</w:t>
            </w:r>
          </w:p>
        </w:tc>
        <w:tc>
          <w:tcPr>
            <w:tcW w:w="1055" w:type="dxa"/>
            <w:shd w:val="clear" w:color="auto" w:fill="auto"/>
          </w:tcPr>
          <w:p w:rsidR="0035497C" w:rsidRPr="003D279B" w:rsidRDefault="0035497C" w:rsidP="00F32527">
            <w:pPr>
              <w:tabs>
                <w:tab w:val="left" w:pos="851"/>
                <w:tab w:val="left" w:pos="1418"/>
                <w:tab w:val="left" w:pos="1985"/>
                <w:tab w:val="left" w:pos="2268"/>
              </w:tabs>
              <w:jc w:val="center"/>
              <w:rPr>
                <w:rFonts w:cs="Arial"/>
                <w:b/>
                <w:sz w:val="22"/>
              </w:rPr>
            </w:pPr>
            <w:r w:rsidRPr="003D279B">
              <w:rPr>
                <w:rFonts w:cs="Arial"/>
                <w:b/>
                <w:sz w:val="22"/>
              </w:rPr>
              <w:t>Total £m</w:t>
            </w:r>
          </w:p>
        </w:tc>
      </w:tr>
      <w:tr w:rsidR="0035497C" w:rsidRPr="004E3E0F" w:rsidTr="00F32527">
        <w:tc>
          <w:tcPr>
            <w:tcW w:w="5070" w:type="dxa"/>
            <w:shd w:val="clear" w:color="auto" w:fill="auto"/>
          </w:tcPr>
          <w:p w:rsidR="0035497C" w:rsidRPr="004E3E0F" w:rsidRDefault="0035497C" w:rsidP="00F32527">
            <w:pPr>
              <w:tabs>
                <w:tab w:val="left" w:pos="851"/>
                <w:tab w:val="left" w:pos="1418"/>
                <w:tab w:val="left" w:pos="1985"/>
                <w:tab w:val="left" w:pos="2268"/>
              </w:tabs>
              <w:rPr>
                <w:rFonts w:cs="Arial"/>
                <w:sz w:val="22"/>
              </w:rPr>
            </w:pPr>
            <w:r w:rsidRPr="004E3E0F">
              <w:rPr>
                <w:rFonts w:cs="Arial"/>
                <w:sz w:val="22"/>
              </w:rPr>
              <w:t>Lancashire Break Time (unused grant balance)</w:t>
            </w:r>
          </w:p>
        </w:tc>
        <w:tc>
          <w:tcPr>
            <w:tcW w:w="1094"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0.674</w:t>
            </w:r>
          </w:p>
        </w:tc>
        <w:tc>
          <w:tcPr>
            <w:tcW w:w="1012"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0.017</w:t>
            </w:r>
          </w:p>
        </w:tc>
        <w:tc>
          <w:tcPr>
            <w:tcW w:w="1012"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w:t>
            </w:r>
            <w:r w:rsidR="00E301AD">
              <w:rPr>
                <w:rFonts w:cs="Arial"/>
                <w:sz w:val="22"/>
              </w:rPr>
              <w:t>.000</w:t>
            </w:r>
          </w:p>
        </w:tc>
        <w:tc>
          <w:tcPr>
            <w:tcW w:w="1055"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0.691</w:t>
            </w:r>
          </w:p>
        </w:tc>
      </w:tr>
      <w:tr w:rsidR="0035497C" w:rsidRPr="004E3E0F" w:rsidTr="00F32527">
        <w:tc>
          <w:tcPr>
            <w:tcW w:w="5070" w:type="dxa"/>
            <w:shd w:val="clear" w:color="auto" w:fill="auto"/>
          </w:tcPr>
          <w:p w:rsidR="0035497C" w:rsidRPr="004E3E0F" w:rsidRDefault="0035497C" w:rsidP="00F32527">
            <w:pPr>
              <w:tabs>
                <w:tab w:val="left" w:pos="851"/>
                <w:tab w:val="left" w:pos="1418"/>
                <w:tab w:val="left" w:pos="1985"/>
                <w:tab w:val="left" w:pos="2268"/>
              </w:tabs>
              <w:rPr>
                <w:rFonts w:cs="Arial"/>
                <w:sz w:val="22"/>
              </w:rPr>
            </w:pPr>
            <w:r w:rsidRPr="004E3E0F">
              <w:rPr>
                <w:rFonts w:cs="Arial"/>
                <w:sz w:val="22"/>
              </w:rPr>
              <w:t>Liquid Logic/resolutions Service replacement for ISSIS</w:t>
            </w:r>
          </w:p>
        </w:tc>
        <w:tc>
          <w:tcPr>
            <w:tcW w:w="1094"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1.592</w:t>
            </w:r>
          </w:p>
        </w:tc>
        <w:tc>
          <w:tcPr>
            <w:tcW w:w="1012"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w:t>
            </w:r>
            <w:r w:rsidR="00E301AD">
              <w:rPr>
                <w:rFonts w:cs="Arial"/>
                <w:sz w:val="22"/>
              </w:rPr>
              <w:t>.000</w:t>
            </w:r>
          </w:p>
        </w:tc>
        <w:tc>
          <w:tcPr>
            <w:tcW w:w="1012"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w:t>
            </w:r>
            <w:r w:rsidR="00E301AD">
              <w:rPr>
                <w:rFonts w:cs="Arial"/>
                <w:sz w:val="22"/>
              </w:rPr>
              <w:t>.000</w:t>
            </w:r>
          </w:p>
        </w:tc>
        <w:tc>
          <w:tcPr>
            <w:tcW w:w="1055"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1.592</w:t>
            </w:r>
          </w:p>
        </w:tc>
      </w:tr>
      <w:tr w:rsidR="0035497C" w:rsidRPr="004E3E0F" w:rsidTr="00F32527">
        <w:tc>
          <w:tcPr>
            <w:tcW w:w="5070" w:type="dxa"/>
            <w:shd w:val="clear" w:color="auto" w:fill="auto"/>
          </w:tcPr>
          <w:p w:rsidR="0035497C" w:rsidRPr="004E3E0F" w:rsidRDefault="0035497C" w:rsidP="00F32527">
            <w:pPr>
              <w:tabs>
                <w:tab w:val="left" w:pos="851"/>
                <w:tab w:val="left" w:pos="1418"/>
                <w:tab w:val="left" w:pos="1985"/>
                <w:tab w:val="left" w:pos="2268"/>
              </w:tabs>
              <w:rPr>
                <w:rFonts w:cs="Arial"/>
                <w:sz w:val="22"/>
              </w:rPr>
            </w:pPr>
            <w:r w:rsidRPr="004E3E0F">
              <w:rPr>
                <w:rFonts w:cs="Arial"/>
                <w:sz w:val="22"/>
              </w:rPr>
              <w:t>Waste Transfer Station (East)</w:t>
            </w:r>
          </w:p>
        </w:tc>
        <w:tc>
          <w:tcPr>
            <w:tcW w:w="1094"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w:t>
            </w:r>
            <w:r w:rsidR="00E301AD">
              <w:rPr>
                <w:rFonts w:cs="Arial"/>
                <w:sz w:val="22"/>
              </w:rPr>
              <w:t>.000</w:t>
            </w:r>
          </w:p>
        </w:tc>
        <w:tc>
          <w:tcPr>
            <w:tcW w:w="1012"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0</w:t>
            </w:r>
            <w:r w:rsidR="00E301AD">
              <w:rPr>
                <w:rFonts w:cs="Arial"/>
                <w:sz w:val="22"/>
              </w:rPr>
              <w:t>.000</w:t>
            </w:r>
          </w:p>
        </w:tc>
        <w:tc>
          <w:tcPr>
            <w:tcW w:w="1012"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7.307</w:t>
            </w:r>
          </w:p>
        </w:tc>
        <w:tc>
          <w:tcPr>
            <w:tcW w:w="1055" w:type="dxa"/>
            <w:shd w:val="clear" w:color="auto" w:fill="auto"/>
          </w:tcPr>
          <w:p w:rsidR="0035497C" w:rsidRPr="004E3E0F" w:rsidRDefault="0035497C" w:rsidP="00E301AD">
            <w:pPr>
              <w:tabs>
                <w:tab w:val="left" w:pos="851"/>
                <w:tab w:val="left" w:pos="1418"/>
                <w:tab w:val="left" w:pos="1985"/>
                <w:tab w:val="left" w:pos="2268"/>
              </w:tabs>
              <w:jc w:val="right"/>
              <w:rPr>
                <w:rFonts w:cs="Arial"/>
                <w:sz w:val="22"/>
              </w:rPr>
            </w:pPr>
            <w:r w:rsidRPr="004E3E0F">
              <w:rPr>
                <w:rFonts w:cs="Arial"/>
                <w:sz w:val="22"/>
              </w:rPr>
              <w:t>7.307</w:t>
            </w:r>
          </w:p>
        </w:tc>
      </w:tr>
      <w:tr w:rsidR="0035497C" w:rsidRPr="005372D8" w:rsidTr="00F32527">
        <w:tc>
          <w:tcPr>
            <w:tcW w:w="5070" w:type="dxa"/>
            <w:shd w:val="clear" w:color="auto" w:fill="auto"/>
          </w:tcPr>
          <w:p w:rsidR="0035497C" w:rsidRPr="004E3E0F" w:rsidRDefault="0035497C" w:rsidP="00F32527">
            <w:pPr>
              <w:tabs>
                <w:tab w:val="left" w:pos="851"/>
                <w:tab w:val="left" w:pos="1418"/>
                <w:tab w:val="left" w:pos="1985"/>
                <w:tab w:val="left" w:pos="2268"/>
              </w:tabs>
              <w:rPr>
                <w:rFonts w:cs="Arial"/>
                <w:b/>
                <w:sz w:val="22"/>
              </w:rPr>
            </w:pPr>
            <w:r w:rsidRPr="004E3E0F">
              <w:rPr>
                <w:rFonts w:cs="Arial"/>
                <w:b/>
                <w:sz w:val="22"/>
              </w:rPr>
              <w:t>Total</w:t>
            </w:r>
          </w:p>
        </w:tc>
        <w:tc>
          <w:tcPr>
            <w:tcW w:w="1094" w:type="dxa"/>
            <w:shd w:val="clear" w:color="auto" w:fill="auto"/>
          </w:tcPr>
          <w:p w:rsidR="0035497C" w:rsidRPr="000C6E06" w:rsidRDefault="008C40D3" w:rsidP="00E301AD">
            <w:pPr>
              <w:tabs>
                <w:tab w:val="left" w:pos="851"/>
                <w:tab w:val="left" w:pos="1418"/>
                <w:tab w:val="left" w:pos="1985"/>
                <w:tab w:val="left" w:pos="2268"/>
              </w:tabs>
              <w:jc w:val="right"/>
              <w:rPr>
                <w:rFonts w:cs="Arial"/>
                <w:b/>
                <w:sz w:val="22"/>
              </w:rPr>
            </w:pPr>
            <w:r w:rsidRPr="000C6E06">
              <w:rPr>
                <w:rFonts w:cs="Arial"/>
                <w:b/>
                <w:sz w:val="22"/>
              </w:rPr>
              <w:t>2.266</w:t>
            </w:r>
          </w:p>
        </w:tc>
        <w:tc>
          <w:tcPr>
            <w:tcW w:w="1012" w:type="dxa"/>
            <w:shd w:val="clear" w:color="auto" w:fill="auto"/>
          </w:tcPr>
          <w:p w:rsidR="0035497C" w:rsidRPr="000C6E06" w:rsidRDefault="0035497C" w:rsidP="00E301AD">
            <w:pPr>
              <w:tabs>
                <w:tab w:val="left" w:pos="851"/>
                <w:tab w:val="left" w:pos="1418"/>
                <w:tab w:val="left" w:pos="1985"/>
                <w:tab w:val="left" w:pos="2268"/>
              </w:tabs>
              <w:jc w:val="right"/>
              <w:rPr>
                <w:rFonts w:cs="Arial"/>
                <w:b/>
                <w:sz w:val="22"/>
              </w:rPr>
            </w:pPr>
            <w:r w:rsidRPr="000C6E06">
              <w:rPr>
                <w:rFonts w:cs="Arial"/>
                <w:b/>
                <w:sz w:val="22"/>
              </w:rPr>
              <w:t>0.017</w:t>
            </w:r>
          </w:p>
        </w:tc>
        <w:tc>
          <w:tcPr>
            <w:tcW w:w="1012" w:type="dxa"/>
            <w:shd w:val="clear" w:color="auto" w:fill="auto"/>
          </w:tcPr>
          <w:p w:rsidR="0035497C" w:rsidRPr="000C6E06" w:rsidRDefault="0035497C" w:rsidP="00E301AD">
            <w:pPr>
              <w:tabs>
                <w:tab w:val="left" w:pos="851"/>
                <w:tab w:val="left" w:pos="1418"/>
                <w:tab w:val="left" w:pos="1985"/>
                <w:tab w:val="left" w:pos="2268"/>
              </w:tabs>
              <w:jc w:val="right"/>
              <w:rPr>
                <w:rFonts w:cs="Arial"/>
                <w:b/>
                <w:sz w:val="22"/>
              </w:rPr>
            </w:pPr>
            <w:r w:rsidRPr="000C6E06">
              <w:rPr>
                <w:rFonts w:cs="Arial"/>
                <w:b/>
                <w:sz w:val="22"/>
              </w:rPr>
              <w:t>7.307</w:t>
            </w:r>
          </w:p>
        </w:tc>
        <w:tc>
          <w:tcPr>
            <w:tcW w:w="1055" w:type="dxa"/>
            <w:shd w:val="clear" w:color="auto" w:fill="auto"/>
          </w:tcPr>
          <w:p w:rsidR="0035497C" w:rsidRPr="000C6E06" w:rsidRDefault="008C40D3" w:rsidP="00E301AD">
            <w:pPr>
              <w:tabs>
                <w:tab w:val="left" w:pos="851"/>
                <w:tab w:val="left" w:pos="1418"/>
                <w:tab w:val="left" w:pos="1985"/>
                <w:tab w:val="left" w:pos="2268"/>
              </w:tabs>
              <w:jc w:val="right"/>
              <w:rPr>
                <w:rFonts w:cs="Arial"/>
                <w:b/>
                <w:sz w:val="22"/>
              </w:rPr>
            </w:pPr>
            <w:r w:rsidRPr="000C6E06">
              <w:rPr>
                <w:rFonts w:cs="Arial"/>
                <w:b/>
                <w:sz w:val="22"/>
              </w:rPr>
              <w:t>9.590</w:t>
            </w:r>
          </w:p>
        </w:tc>
      </w:tr>
    </w:tbl>
    <w:p w:rsidR="0035497C" w:rsidRPr="005372D8" w:rsidRDefault="0035497C" w:rsidP="0035497C">
      <w:pPr>
        <w:tabs>
          <w:tab w:val="left" w:pos="851"/>
          <w:tab w:val="left" w:pos="1418"/>
          <w:tab w:val="left" w:pos="1985"/>
          <w:tab w:val="left" w:pos="2268"/>
        </w:tabs>
        <w:rPr>
          <w:rFonts w:cs="Arial"/>
        </w:rPr>
      </w:pPr>
    </w:p>
    <w:p w:rsidR="0035497C" w:rsidRDefault="0035497C" w:rsidP="00E301AD">
      <w:pPr>
        <w:pStyle w:val="ListParagraph"/>
        <w:tabs>
          <w:tab w:val="left" w:pos="851"/>
          <w:tab w:val="left" w:pos="1418"/>
          <w:tab w:val="left" w:pos="1985"/>
          <w:tab w:val="left" w:pos="2268"/>
        </w:tabs>
        <w:autoSpaceDE/>
        <w:autoSpaceDN/>
        <w:adjustRightInd/>
        <w:spacing w:after="0" w:line="259" w:lineRule="auto"/>
        <w:ind w:left="0"/>
        <w:rPr>
          <w:rFonts w:cs="Arial"/>
        </w:rPr>
      </w:pPr>
      <w:r>
        <w:rPr>
          <w:rFonts w:cs="Arial"/>
        </w:rPr>
        <w:t>The costs within Table 2 for 2016/17 and beyond can be "recycled" to reduce the overall cost of borrowing and assist in funding additional items shown later within this report.</w:t>
      </w:r>
    </w:p>
    <w:p w:rsidR="0035497C" w:rsidRDefault="0035497C" w:rsidP="0035497C">
      <w:pPr>
        <w:pStyle w:val="ListParagraph"/>
        <w:tabs>
          <w:tab w:val="left" w:pos="851"/>
          <w:tab w:val="left" w:pos="1418"/>
          <w:tab w:val="left" w:pos="1985"/>
          <w:tab w:val="left" w:pos="2268"/>
        </w:tabs>
        <w:autoSpaceDE/>
        <w:autoSpaceDN/>
        <w:adjustRightInd/>
        <w:spacing w:after="0" w:line="259" w:lineRule="auto"/>
        <w:ind w:left="0"/>
        <w:jc w:val="left"/>
        <w:rPr>
          <w:rFonts w:cs="Arial"/>
        </w:rPr>
      </w:pPr>
    </w:p>
    <w:p w:rsidR="0035497C" w:rsidRDefault="0035497C" w:rsidP="00E301AD">
      <w:pPr>
        <w:pStyle w:val="ListParagraph"/>
        <w:tabs>
          <w:tab w:val="left" w:pos="851"/>
          <w:tab w:val="left" w:pos="1418"/>
          <w:tab w:val="left" w:pos="1985"/>
          <w:tab w:val="left" w:pos="2268"/>
        </w:tabs>
        <w:autoSpaceDE/>
        <w:autoSpaceDN/>
        <w:adjustRightInd/>
        <w:spacing w:after="0" w:line="259" w:lineRule="auto"/>
        <w:ind w:left="0"/>
        <w:rPr>
          <w:rFonts w:cs="Arial"/>
          <w:color w:val="auto"/>
        </w:rPr>
      </w:pPr>
      <w:r w:rsidRPr="005372D8">
        <w:rPr>
          <w:rFonts w:cs="Arial"/>
          <w:color w:val="auto"/>
        </w:rPr>
        <w:t>The Waste Transfer Station in the east of the county has been budgeted for and forecast to be spent within the capital programme for a number of years but to date has not been programmed.  At this point it could be removed as it is not considered essential from an operational point of view.</w:t>
      </w:r>
    </w:p>
    <w:p w:rsidR="005F13BF" w:rsidRDefault="005F13BF" w:rsidP="0035497C">
      <w:pPr>
        <w:pStyle w:val="ListParagraph"/>
        <w:tabs>
          <w:tab w:val="left" w:pos="851"/>
          <w:tab w:val="left" w:pos="1418"/>
          <w:tab w:val="left" w:pos="1985"/>
          <w:tab w:val="left" w:pos="2268"/>
        </w:tabs>
        <w:autoSpaceDE/>
        <w:autoSpaceDN/>
        <w:adjustRightInd/>
        <w:spacing w:after="0" w:line="259" w:lineRule="auto"/>
        <w:ind w:left="0"/>
        <w:jc w:val="left"/>
        <w:rPr>
          <w:rFonts w:cs="Arial"/>
          <w:color w:val="auto"/>
        </w:rPr>
      </w:pPr>
    </w:p>
    <w:p w:rsidR="0035497C" w:rsidRDefault="0035497C" w:rsidP="00E301AD">
      <w:pPr>
        <w:pStyle w:val="ListParagraph"/>
        <w:numPr>
          <w:ilvl w:val="0"/>
          <w:numId w:val="41"/>
        </w:numPr>
        <w:spacing w:after="0"/>
        <w:ind w:left="284" w:hanging="284"/>
        <w:rPr>
          <w:b/>
        </w:rPr>
      </w:pPr>
      <w:r w:rsidRPr="00E301AD">
        <w:rPr>
          <w:b/>
        </w:rPr>
        <w:t>Provisional Capital Programme for 2016/17 – 2018/19</w:t>
      </w:r>
    </w:p>
    <w:p w:rsidR="00E301AD" w:rsidRPr="00E301AD" w:rsidRDefault="00E301AD" w:rsidP="00E301AD">
      <w:pPr>
        <w:pStyle w:val="ListParagraph"/>
        <w:spacing w:after="0"/>
        <w:ind w:left="284"/>
        <w:rPr>
          <w:b/>
        </w:rPr>
      </w:pPr>
    </w:p>
    <w:p w:rsidR="0035497C" w:rsidRDefault="0035497C" w:rsidP="00E301AD">
      <w:pPr>
        <w:spacing w:after="0"/>
      </w:pPr>
      <w:r>
        <w:t>Table 3 below details the proposed provisional capital programme for the period 2016/17 to 2018/19.  City Deal is included only where LCC make a direct contribution to it or where LCC is supporting the cash flow requirements of the project in the early years.</w:t>
      </w:r>
    </w:p>
    <w:p w:rsidR="00E301AD" w:rsidRDefault="00E301AD" w:rsidP="00E301AD">
      <w:pPr>
        <w:spacing w:after="0"/>
      </w:pPr>
    </w:p>
    <w:p w:rsidR="0035497C" w:rsidRDefault="0035497C" w:rsidP="0035497C">
      <w:r>
        <w:t>City Deal and other Lancashire Economic Partnership activity is reported separately via the existing LEP reporting and performance framework.  LCC is the accountable body for the LEP.</w:t>
      </w:r>
    </w:p>
    <w:p w:rsidR="0035497C" w:rsidRDefault="0035497C" w:rsidP="0035497C"/>
    <w:p w:rsidR="00E301AD" w:rsidRDefault="00E301AD" w:rsidP="0035497C"/>
    <w:p w:rsidR="00E301AD" w:rsidRDefault="00E301AD" w:rsidP="0035497C"/>
    <w:p w:rsidR="00E301AD" w:rsidRDefault="00E301AD" w:rsidP="0035497C"/>
    <w:p w:rsidR="00E301AD" w:rsidRDefault="00E301AD" w:rsidP="0035497C"/>
    <w:p w:rsidR="00E301AD" w:rsidRDefault="00E301AD" w:rsidP="003549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134"/>
        <w:gridCol w:w="1134"/>
        <w:gridCol w:w="1197"/>
      </w:tblGrid>
      <w:tr w:rsidR="0035497C" w:rsidTr="00F32527">
        <w:tc>
          <w:tcPr>
            <w:tcW w:w="4503" w:type="dxa"/>
            <w:shd w:val="clear" w:color="auto" w:fill="auto"/>
          </w:tcPr>
          <w:p w:rsidR="0035497C" w:rsidRPr="00E301AD" w:rsidRDefault="0035497C" w:rsidP="00F32527">
            <w:pPr>
              <w:rPr>
                <w:rFonts w:cs="Arial"/>
                <w:b/>
                <w:sz w:val="22"/>
                <w:szCs w:val="22"/>
              </w:rPr>
            </w:pPr>
            <w:r w:rsidRPr="00E301AD">
              <w:rPr>
                <w:rFonts w:cs="Arial"/>
                <w:b/>
                <w:sz w:val="22"/>
                <w:szCs w:val="22"/>
              </w:rPr>
              <w:lastRenderedPageBreak/>
              <w:t>Table 3 Provisional Capital Programme</w:t>
            </w:r>
          </w:p>
        </w:tc>
        <w:tc>
          <w:tcPr>
            <w:tcW w:w="1275" w:type="dxa"/>
            <w:shd w:val="clear" w:color="auto" w:fill="auto"/>
          </w:tcPr>
          <w:p w:rsidR="0035497C" w:rsidRPr="009C1FDB" w:rsidRDefault="0035497C" w:rsidP="00F32527">
            <w:pPr>
              <w:jc w:val="center"/>
              <w:rPr>
                <w:rFonts w:cs="Arial"/>
                <w:b/>
                <w:sz w:val="20"/>
              </w:rPr>
            </w:pPr>
            <w:r w:rsidRPr="009C1FDB">
              <w:rPr>
                <w:rFonts w:cs="Arial"/>
                <w:b/>
                <w:sz w:val="20"/>
              </w:rPr>
              <w:t>2016/17 £m</w:t>
            </w:r>
          </w:p>
        </w:tc>
        <w:tc>
          <w:tcPr>
            <w:tcW w:w="1134" w:type="dxa"/>
            <w:shd w:val="clear" w:color="auto" w:fill="auto"/>
          </w:tcPr>
          <w:p w:rsidR="0035497C" w:rsidRPr="009C1FDB" w:rsidRDefault="0035497C" w:rsidP="00F32527">
            <w:pPr>
              <w:jc w:val="center"/>
              <w:rPr>
                <w:rFonts w:cs="Arial"/>
                <w:b/>
                <w:sz w:val="20"/>
              </w:rPr>
            </w:pPr>
            <w:r w:rsidRPr="009C1FDB">
              <w:rPr>
                <w:rFonts w:cs="Arial"/>
                <w:b/>
                <w:sz w:val="20"/>
              </w:rPr>
              <w:t>2017/18 £m</w:t>
            </w:r>
          </w:p>
        </w:tc>
        <w:tc>
          <w:tcPr>
            <w:tcW w:w="1134" w:type="dxa"/>
            <w:shd w:val="clear" w:color="auto" w:fill="auto"/>
          </w:tcPr>
          <w:p w:rsidR="0035497C" w:rsidRPr="009C1FDB" w:rsidRDefault="0035497C" w:rsidP="00F32527">
            <w:pPr>
              <w:jc w:val="center"/>
              <w:rPr>
                <w:rFonts w:cs="Arial"/>
                <w:b/>
                <w:sz w:val="20"/>
              </w:rPr>
            </w:pPr>
            <w:r w:rsidRPr="009C1FDB">
              <w:rPr>
                <w:rFonts w:cs="Arial"/>
                <w:b/>
                <w:sz w:val="20"/>
              </w:rPr>
              <w:t>2018/19 £m</w:t>
            </w:r>
          </w:p>
        </w:tc>
        <w:tc>
          <w:tcPr>
            <w:tcW w:w="1197" w:type="dxa"/>
            <w:shd w:val="clear" w:color="auto" w:fill="auto"/>
          </w:tcPr>
          <w:p w:rsidR="00E301AD" w:rsidRDefault="0035497C" w:rsidP="00E301AD">
            <w:pPr>
              <w:spacing w:after="0"/>
              <w:jc w:val="center"/>
              <w:rPr>
                <w:rFonts w:cs="Arial"/>
                <w:b/>
                <w:sz w:val="20"/>
              </w:rPr>
            </w:pPr>
            <w:r w:rsidRPr="009C1FDB">
              <w:rPr>
                <w:rFonts w:cs="Arial"/>
                <w:b/>
                <w:sz w:val="20"/>
              </w:rPr>
              <w:t>Total</w:t>
            </w:r>
          </w:p>
          <w:p w:rsidR="0035497C" w:rsidRPr="009C1FDB" w:rsidRDefault="0035497C" w:rsidP="00E301AD">
            <w:pPr>
              <w:jc w:val="center"/>
              <w:rPr>
                <w:rFonts w:cs="Arial"/>
                <w:b/>
                <w:sz w:val="20"/>
              </w:rPr>
            </w:pPr>
            <w:r w:rsidRPr="009C1FDB">
              <w:rPr>
                <w:rFonts w:cs="Arial"/>
                <w:b/>
                <w:sz w:val="20"/>
              </w:rPr>
              <w:t>£m</w:t>
            </w:r>
          </w:p>
        </w:tc>
      </w:tr>
      <w:tr w:rsidR="0035497C" w:rsidTr="00F32527">
        <w:tc>
          <w:tcPr>
            <w:tcW w:w="4503" w:type="dxa"/>
            <w:shd w:val="clear" w:color="auto" w:fill="auto"/>
          </w:tcPr>
          <w:p w:rsidR="0035497C" w:rsidRPr="004F2492" w:rsidRDefault="0035497C" w:rsidP="00F32527">
            <w:pPr>
              <w:rPr>
                <w:rFonts w:cs="Arial"/>
                <w:b/>
                <w:u w:val="single"/>
              </w:rPr>
            </w:pPr>
            <w:r w:rsidRPr="004F2492">
              <w:rPr>
                <w:rFonts w:cs="Arial"/>
                <w:b/>
                <w:u w:val="single"/>
              </w:rPr>
              <w:t>Programme approved February 2015</w:t>
            </w:r>
          </w:p>
        </w:tc>
        <w:tc>
          <w:tcPr>
            <w:tcW w:w="1275" w:type="dxa"/>
            <w:shd w:val="clear" w:color="auto" w:fill="auto"/>
          </w:tcPr>
          <w:p w:rsidR="0035497C" w:rsidRPr="009C1FDB" w:rsidRDefault="0035497C" w:rsidP="00F32527">
            <w:pPr>
              <w:rPr>
                <w:rFonts w:cs="Arial"/>
                <w:b/>
                <w:sz w:val="20"/>
              </w:rPr>
            </w:pPr>
          </w:p>
        </w:tc>
        <w:tc>
          <w:tcPr>
            <w:tcW w:w="1134" w:type="dxa"/>
            <w:shd w:val="clear" w:color="auto" w:fill="auto"/>
          </w:tcPr>
          <w:p w:rsidR="0035497C" w:rsidRPr="009C1FDB" w:rsidRDefault="0035497C" w:rsidP="00F32527">
            <w:pPr>
              <w:rPr>
                <w:rFonts w:cs="Arial"/>
                <w:b/>
                <w:sz w:val="20"/>
              </w:rPr>
            </w:pPr>
          </w:p>
        </w:tc>
        <w:tc>
          <w:tcPr>
            <w:tcW w:w="1134" w:type="dxa"/>
            <w:shd w:val="clear" w:color="auto" w:fill="auto"/>
          </w:tcPr>
          <w:p w:rsidR="0035497C" w:rsidRPr="009C1FDB" w:rsidRDefault="0035497C" w:rsidP="00F32527">
            <w:pPr>
              <w:rPr>
                <w:rFonts w:cs="Arial"/>
                <w:b/>
                <w:sz w:val="20"/>
              </w:rPr>
            </w:pPr>
          </w:p>
        </w:tc>
        <w:tc>
          <w:tcPr>
            <w:tcW w:w="1197" w:type="dxa"/>
            <w:shd w:val="clear" w:color="auto" w:fill="auto"/>
          </w:tcPr>
          <w:p w:rsidR="0035497C" w:rsidRPr="009C1FDB" w:rsidRDefault="0035497C" w:rsidP="00F32527">
            <w:pPr>
              <w:rPr>
                <w:rFonts w:cs="Arial"/>
                <w:b/>
                <w:sz w:val="20"/>
              </w:rPr>
            </w:pPr>
          </w:p>
        </w:tc>
      </w:tr>
      <w:tr w:rsidR="0035497C" w:rsidTr="00F32527">
        <w:tc>
          <w:tcPr>
            <w:tcW w:w="4503" w:type="dxa"/>
            <w:shd w:val="clear" w:color="auto" w:fill="auto"/>
          </w:tcPr>
          <w:p w:rsidR="0035497C" w:rsidRDefault="0035497C" w:rsidP="0035497C">
            <w:pPr>
              <w:numPr>
                <w:ilvl w:val="0"/>
                <w:numId w:val="43"/>
              </w:numPr>
              <w:autoSpaceDE/>
              <w:autoSpaceDN/>
              <w:adjustRightInd/>
              <w:spacing w:after="0"/>
              <w:jc w:val="left"/>
              <w:rPr>
                <w:rFonts w:cs="Arial"/>
                <w:b/>
                <w:sz w:val="20"/>
              </w:rPr>
            </w:pPr>
            <w:r w:rsidRPr="009C1FDB">
              <w:rPr>
                <w:rFonts w:cs="Arial"/>
                <w:b/>
                <w:sz w:val="20"/>
              </w:rPr>
              <w:t>2015/16 and Prior Year Starts projects forecast requirement</w:t>
            </w:r>
          </w:p>
          <w:p w:rsidR="0035497C" w:rsidRPr="009C1FDB" w:rsidRDefault="0035497C" w:rsidP="00F32527">
            <w:pPr>
              <w:ind w:left="720"/>
              <w:rPr>
                <w:rFonts w:cs="Arial"/>
                <w:b/>
                <w:sz w:val="20"/>
              </w:rPr>
            </w:pPr>
          </w:p>
        </w:tc>
        <w:tc>
          <w:tcPr>
            <w:tcW w:w="1275" w:type="dxa"/>
            <w:shd w:val="clear" w:color="auto" w:fill="auto"/>
          </w:tcPr>
          <w:p w:rsidR="0035497C" w:rsidRPr="009C1FDB" w:rsidRDefault="0035497C" w:rsidP="00F32527">
            <w:pPr>
              <w:rPr>
                <w:rFonts w:cs="Arial"/>
                <w:b/>
                <w:sz w:val="20"/>
                <w:highlight w:val="yellow"/>
              </w:rPr>
            </w:pPr>
          </w:p>
        </w:tc>
        <w:tc>
          <w:tcPr>
            <w:tcW w:w="1134" w:type="dxa"/>
            <w:shd w:val="clear" w:color="auto" w:fill="auto"/>
          </w:tcPr>
          <w:p w:rsidR="0035497C" w:rsidRPr="009C1FDB" w:rsidRDefault="0035497C" w:rsidP="00F32527">
            <w:pPr>
              <w:rPr>
                <w:rFonts w:cs="Arial"/>
                <w:b/>
                <w:sz w:val="20"/>
                <w:highlight w:val="yellow"/>
              </w:rPr>
            </w:pPr>
          </w:p>
        </w:tc>
        <w:tc>
          <w:tcPr>
            <w:tcW w:w="1134" w:type="dxa"/>
            <w:shd w:val="clear" w:color="auto" w:fill="auto"/>
          </w:tcPr>
          <w:p w:rsidR="0035497C" w:rsidRPr="009C1FDB" w:rsidRDefault="0035497C" w:rsidP="00F32527">
            <w:pPr>
              <w:rPr>
                <w:rFonts w:cs="Arial"/>
                <w:b/>
                <w:sz w:val="20"/>
                <w:highlight w:val="yellow"/>
              </w:rPr>
            </w:pPr>
          </w:p>
        </w:tc>
        <w:tc>
          <w:tcPr>
            <w:tcW w:w="1197" w:type="dxa"/>
            <w:shd w:val="clear" w:color="auto" w:fill="auto"/>
          </w:tcPr>
          <w:p w:rsidR="0035497C" w:rsidRPr="009C1FDB" w:rsidRDefault="0035497C" w:rsidP="00F32527">
            <w:pPr>
              <w:rPr>
                <w:rFonts w:cs="Arial"/>
                <w:b/>
                <w:sz w:val="20"/>
                <w:highlight w:val="yellow"/>
              </w:rPr>
            </w:pPr>
          </w:p>
        </w:tc>
      </w:tr>
      <w:tr w:rsidR="0035497C" w:rsidRPr="000C5331" w:rsidTr="00F32527">
        <w:tc>
          <w:tcPr>
            <w:tcW w:w="4503"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Street Lighting Challenge Fund project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5.000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4.800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9.800</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Non highways structures</w:t>
            </w:r>
          </w:p>
        </w:tc>
        <w:tc>
          <w:tcPr>
            <w:tcW w:w="1275"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0.110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0.050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0.160</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 xml:space="preserve"> Burnley Town Centre</w:t>
            </w:r>
          </w:p>
        </w:tc>
        <w:tc>
          <w:tcPr>
            <w:tcW w:w="1275"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0.700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0.550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1.250</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Fire Suppression systems at Waste plants</w:t>
            </w:r>
          </w:p>
        </w:tc>
        <w:tc>
          <w:tcPr>
            <w:tcW w:w="1275"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1.500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2.000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3.500</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Waste transfer station</w:t>
            </w:r>
            <w:r>
              <w:rPr>
                <w:rFonts w:cs="Arial"/>
                <w:bCs/>
                <w:sz w:val="20"/>
              </w:rPr>
              <w:t xml:space="preserve"> (East)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0.500</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7.307</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7.807</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4E3E0F">
              <w:rPr>
                <w:rFonts w:cs="Arial"/>
                <w:bCs/>
                <w:sz w:val="20"/>
              </w:rPr>
              <w:t xml:space="preserve">Adult </w:t>
            </w:r>
            <w:r w:rsidRPr="004E3E0F">
              <w:rPr>
                <w:rFonts w:cs="Arial"/>
                <w:b/>
                <w:bCs/>
                <w:sz w:val="20"/>
              </w:rPr>
              <w:t>(of which 5.967m in 2016/17 relates to Extra Care Strategy, only £5.573m of which has not yet been programmed</w:t>
            </w:r>
            <w:r w:rsidRPr="004E3E0F">
              <w:rPr>
                <w:rFonts w:cs="Arial"/>
                <w:bCs/>
                <w:sz w:val="20"/>
              </w:rPr>
              <w:t>)</w:t>
            </w:r>
          </w:p>
        </w:tc>
        <w:tc>
          <w:tcPr>
            <w:tcW w:w="1275"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6.787</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0.213</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7.000</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Corporate</w:t>
            </w:r>
          </w:p>
        </w:tc>
        <w:tc>
          <w:tcPr>
            <w:tcW w:w="1275"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0.129</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0.129</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Vehicles</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2.850</w:t>
            </w:r>
          </w:p>
        </w:tc>
        <w:tc>
          <w:tcPr>
            <w:tcW w:w="1134" w:type="dxa"/>
            <w:tcBorders>
              <w:top w:val="nil"/>
              <w:left w:val="single" w:sz="4" w:space="0" w:color="auto"/>
              <w:bottom w:val="nil"/>
              <w:right w:val="nil"/>
            </w:tcBorders>
            <w:shd w:val="clear" w:color="auto" w:fill="auto"/>
            <w:vAlign w:val="bottom"/>
          </w:tcPr>
          <w:p w:rsidR="0035497C" w:rsidRPr="009C1FDB" w:rsidRDefault="0035497C" w:rsidP="00E301AD">
            <w:pPr>
              <w:jc w:val="right"/>
              <w:rPr>
                <w:rFonts w:cs="Arial"/>
                <w:bCs/>
                <w:sz w:val="20"/>
              </w:rPr>
            </w:pPr>
          </w:p>
        </w:tc>
        <w:tc>
          <w:tcPr>
            <w:tcW w:w="1197" w:type="dxa"/>
            <w:tcBorders>
              <w:top w:val="nil"/>
              <w:left w:val="single" w:sz="4" w:space="0" w:color="auto"/>
              <w:bottom w:val="nil"/>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5.700</w:t>
            </w:r>
          </w:p>
        </w:tc>
      </w:tr>
      <w:tr w:rsidR="0035497C" w:rsidRPr="000C5331"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 xml:space="preserve">Schools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4.346</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3.580</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7.926</w:t>
            </w:r>
          </w:p>
        </w:tc>
      </w:tr>
      <w:tr w:rsidR="0035497C" w:rsidRPr="000C5331" w:rsidTr="00F32527">
        <w:tc>
          <w:tcPr>
            <w:tcW w:w="4503"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sz w:val="20"/>
              </w:rPr>
            </w:pPr>
            <w:r w:rsidRPr="009C1FDB">
              <w:rPr>
                <w:rFonts w:cs="Arial"/>
                <w:sz w:val="20"/>
              </w:rPr>
              <w:t>CYP non schools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3.225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3.227</w:t>
            </w:r>
          </w:p>
        </w:tc>
      </w:tr>
      <w:tr w:rsidR="0035497C" w:rsidRPr="009C1FDB" w:rsidTr="00F32527">
        <w:tc>
          <w:tcPr>
            <w:tcW w:w="4503" w:type="dxa"/>
            <w:shd w:val="clear" w:color="auto" w:fill="auto"/>
          </w:tcPr>
          <w:p w:rsidR="0035497C" w:rsidRPr="00AE55AF" w:rsidRDefault="0035497C" w:rsidP="0035497C">
            <w:pPr>
              <w:numPr>
                <w:ilvl w:val="0"/>
                <w:numId w:val="43"/>
              </w:numPr>
              <w:autoSpaceDE/>
              <w:autoSpaceDN/>
              <w:adjustRightInd/>
              <w:spacing w:after="0"/>
              <w:jc w:val="left"/>
              <w:rPr>
                <w:rFonts w:cs="Arial"/>
                <w:b/>
                <w:sz w:val="20"/>
              </w:rPr>
            </w:pPr>
            <w:r w:rsidRPr="00AE55AF">
              <w:rPr>
                <w:rFonts w:cs="Arial"/>
                <w:b/>
                <w:sz w:val="20"/>
              </w:rPr>
              <w:t xml:space="preserve">Removal of </w:t>
            </w:r>
            <w:proofErr w:type="spellStart"/>
            <w:r w:rsidRPr="00AE55AF">
              <w:rPr>
                <w:rFonts w:cs="Arial"/>
                <w:b/>
                <w:sz w:val="20"/>
              </w:rPr>
              <w:t>unprogrammed</w:t>
            </w:r>
            <w:proofErr w:type="spellEnd"/>
            <w:r w:rsidRPr="00AE55AF">
              <w:rPr>
                <w:rFonts w:cs="Arial"/>
                <w:b/>
                <w:sz w:val="20"/>
              </w:rPr>
              <w:t xml:space="preserve"> budgets as outlined in Table 2</w:t>
            </w:r>
          </w:p>
          <w:p w:rsidR="0035497C" w:rsidRPr="009C1FDB" w:rsidRDefault="0035497C" w:rsidP="00F32527">
            <w:pPr>
              <w:rPr>
                <w:rFonts w:cs="Arial"/>
                <w:b/>
                <w:sz w:val="20"/>
              </w:rPr>
            </w:pPr>
          </w:p>
        </w:tc>
        <w:tc>
          <w:tcPr>
            <w:tcW w:w="1275"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p>
        </w:tc>
        <w:tc>
          <w:tcPr>
            <w:tcW w:w="1197" w:type="dxa"/>
            <w:shd w:val="clear" w:color="auto" w:fill="auto"/>
          </w:tcPr>
          <w:p w:rsidR="0035497C" w:rsidRPr="009C1FDB" w:rsidRDefault="0035497C" w:rsidP="00E301AD">
            <w:pPr>
              <w:jc w:val="right"/>
              <w:rPr>
                <w:rFonts w:cs="Arial"/>
                <w:sz w:val="20"/>
              </w:rPr>
            </w:pPr>
          </w:p>
        </w:tc>
      </w:tr>
      <w:tr w:rsidR="0035497C" w:rsidTr="00F32527">
        <w:tc>
          <w:tcPr>
            <w:tcW w:w="4503" w:type="dxa"/>
            <w:shd w:val="clear" w:color="auto" w:fill="auto"/>
          </w:tcPr>
          <w:p w:rsidR="0035497C" w:rsidRPr="001C575F" w:rsidRDefault="0035497C" w:rsidP="00F32527">
            <w:pPr>
              <w:rPr>
                <w:rFonts w:cs="Arial"/>
                <w:sz w:val="20"/>
              </w:rPr>
            </w:pPr>
            <w:r w:rsidRPr="001C575F">
              <w:rPr>
                <w:rFonts w:cs="Arial"/>
                <w:sz w:val="20"/>
              </w:rPr>
              <w:t>Waste transfer station</w:t>
            </w:r>
            <w:r>
              <w:rPr>
                <w:rFonts w:cs="Arial"/>
                <w:sz w:val="20"/>
              </w:rPr>
              <w:t xml:space="preserve"> (East)</w:t>
            </w:r>
          </w:p>
        </w:tc>
        <w:tc>
          <w:tcPr>
            <w:tcW w:w="1275"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r>
              <w:rPr>
                <w:rFonts w:cs="Arial"/>
                <w:sz w:val="20"/>
              </w:rPr>
              <w:t>(7.307)</w:t>
            </w:r>
          </w:p>
        </w:tc>
        <w:tc>
          <w:tcPr>
            <w:tcW w:w="1134" w:type="dxa"/>
            <w:shd w:val="clear" w:color="auto" w:fill="auto"/>
          </w:tcPr>
          <w:p w:rsidR="0035497C" w:rsidRPr="009C1FDB" w:rsidRDefault="0035497C" w:rsidP="00E301AD">
            <w:pPr>
              <w:jc w:val="right"/>
              <w:rPr>
                <w:rFonts w:cs="Arial"/>
                <w:sz w:val="20"/>
              </w:rPr>
            </w:pPr>
          </w:p>
        </w:tc>
        <w:tc>
          <w:tcPr>
            <w:tcW w:w="1197" w:type="dxa"/>
            <w:shd w:val="clear" w:color="auto" w:fill="auto"/>
          </w:tcPr>
          <w:p w:rsidR="0035497C" w:rsidRPr="009C1FDB" w:rsidRDefault="0035497C" w:rsidP="00E301AD">
            <w:pPr>
              <w:jc w:val="right"/>
              <w:rPr>
                <w:rFonts w:cs="Arial"/>
                <w:sz w:val="20"/>
              </w:rPr>
            </w:pPr>
            <w:r>
              <w:rPr>
                <w:rFonts w:cs="Arial"/>
                <w:sz w:val="20"/>
              </w:rPr>
              <w:t>(7.307)</w:t>
            </w:r>
          </w:p>
        </w:tc>
      </w:tr>
      <w:tr w:rsidR="0035497C" w:rsidTr="00F32527">
        <w:tc>
          <w:tcPr>
            <w:tcW w:w="4503" w:type="dxa"/>
            <w:shd w:val="clear" w:color="auto" w:fill="auto"/>
          </w:tcPr>
          <w:p w:rsidR="0035497C" w:rsidRPr="001C575F" w:rsidRDefault="0035497C" w:rsidP="00F32527">
            <w:pPr>
              <w:rPr>
                <w:rFonts w:cs="Arial"/>
                <w:sz w:val="20"/>
              </w:rPr>
            </w:pPr>
          </w:p>
        </w:tc>
        <w:tc>
          <w:tcPr>
            <w:tcW w:w="1275"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p>
        </w:tc>
        <w:tc>
          <w:tcPr>
            <w:tcW w:w="1197" w:type="dxa"/>
            <w:shd w:val="clear" w:color="auto" w:fill="auto"/>
          </w:tcPr>
          <w:p w:rsidR="0035497C" w:rsidRPr="009C1FDB" w:rsidRDefault="0035497C" w:rsidP="00E301AD">
            <w:pPr>
              <w:jc w:val="right"/>
              <w:rPr>
                <w:rFonts w:cs="Arial"/>
                <w:sz w:val="20"/>
              </w:rPr>
            </w:pPr>
          </w:p>
        </w:tc>
      </w:tr>
      <w:tr w:rsidR="0035497C" w:rsidTr="00F32527">
        <w:tc>
          <w:tcPr>
            <w:tcW w:w="4503" w:type="dxa"/>
            <w:shd w:val="clear" w:color="auto" w:fill="auto"/>
          </w:tcPr>
          <w:p w:rsidR="0035497C" w:rsidRPr="009C1FDB" w:rsidRDefault="0035497C" w:rsidP="0035497C">
            <w:pPr>
              <w:numPr>
                <w:ilvl w:val="0"/>
                <w:numId w:val="43"/>
              </w:numPr>
              <w:autoSpaceDE/>
              <w:autoSpaceDN/>
              <w:adjustRightInd/>
              <w:spacing w:after="0"/>
              <w:jc w:val="left"/>
              <w:rPr>
                <w:rFonts w:cs="Arial"/>
                <w:b/>
                <w:sz w:val="20"/>
              </w:rPr>
            </w:pPr>
            <w:r w:rsidRPr="009C1FDB">
              <w:rPr>
                <w:rFonts w:cs="Arial"/>
                <w:b/>
                <w:sz w:val="20"/>
              </w:rPr>
              <w:t>2016/17 and 2017/18 Starts approved in Feb 2015 programme</w:t>
            </w:r>
            <w:r>
              <w:rPr>
                <w:rFonts w:cs="Arial"/>
                <w:b/>
                <w:sz w:val="20"/>
              </w:rPr>
              <w:t xml:space="preserve"> to spend Single Capital Pot grants confirmed by DfT as available in that year</w:t>
            </w:r>
          </w:p>
        </w:tc>
        <w:tc>
          <w:tcPr>
            <w:tcW w:w="1275"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p>
        </w:tc>
        <w:tc>
          <w:tcPr>
            <w:tcW w:w="1134" w:type="dxa"/>
            <w:shd w:val="clear" w:color="auto" w:fill="auto"/>
          </w:tcPr>
          <w:p w:rsidR="0035497C" w:rsidRPr="009C1FDB" w:rsidRDefault="0035497C" w:rsidP="00E301AD">
            <w:pPr>
              <w:jc w:val="right"/>
              <w:rPr>
                <w:rFonts w:cs="Arial"/>
                <w:sz w:val="20"/>
              </w:rPr>
            </w:pPr>
          </w:p>
        </w:tc>
        <w:tc>
          <w:tcPr>
            <w:tcW w:w="1197" w:type="dxa"/>
            <w:shd w:val="clear" w:color="auto" w:fill="auto"/>
          </w:tcPr>
          <w:p w:rsidR="0035497C" w:rsidRPr="009C1FDB" w:rsidRDefault="0035497C" w:rsidP="00E301AD">
            <w:pPr>
              <w:jc w:val="right"/>
              <w:rPr>
                <w:rFonts w:cs="Arial"/>
                <w:sz w:val="20"/>
              </w:rPr>
            </w:pPr>
          </w:p>
        </w:tc>
      </w:tr>
      <w:tr w:rsidR="0035497C" w:rsidTr="00F32527">
        <w:tc>
          <w:tcPr>
            <w:tcW w:w="4503"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sz w:val="20"/>
              </w:rPr>
            </w:pPr>
            <w:r w:rsidRPr="009C1FDB">
              <w:rPr>
                <w:rFonts w:cs="Arial"/>
                <w:sz w:val="20"/>
              </w:rPr>
              <w:t xml:space="preserve">Highways Maintenance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20.454</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19.964</w:t>
            </w:r>
          </w:p>
        </w:tc>
        <w:tc>
          <w:tcPr>
            <w:tcW w:w="1134" w:type="dxa"/>
            <w:shd w:val="clear" w:color="auto" w:fill="auto"/>
          </w:tcPr>
          <w:p w:rsidR="0035497C" w:rsidRPr="009C1FDB" w:rsidRDefault="0035497C" w:rsidP="00E301AD">
            <w:pPr>
              <w:jc w:val="right"/>
              <w:rPr>
                <w:rFonts w:cs="Arial"/>
                <w:sz w:val="20"/>
              </w:rPr>
            </w:pPr>
          </w:p>
        </w:tc>
        <w:tc>
          <w:tcPr>
            <w:tcW w:w="1197" w:type="dxa"/>
            <w:shd w:val="clear" w:color="auto" w:fill="auto"/>
          </w:tcPr>
          <w:p w:rsidR="0035497C" w:rsidRPr="009C1FDB" w:rsidRDefault="0035497C" w:rsidP="00E301AD">
            <w:pPr>
              <w:jc w:val="right"/>
              <w:rPr>
                <w:rFonts w:cs="Arial"/>
                <w:sz w:val="20"/>
              </w:rPr>
            </w:pPr>
            <w:r w:rsidRPr="009C1FDB">
              <w:rPr>
                <w:rFonts w:cs="Arial"/>
                <w:sz w:val="20"/>
              </w:rPr>
              <w:t>40.418</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sz w:val="20"/>
              </w:rPr>
            </w:pPr>
            <w:r w:rsidRPr="009C1FDB">
              <w:rPr>
                <w:rFonts w:cs="Arial"/>
                <w:sz w:val="20"/>
              </w:rPr>
              <w:t xml:space="preserve">Transport </w:t>
            </w:r>
          </w:p>
        </w:tc>
        <w:tc>
          <w:tcPr>
            <w:tcW w:w="1275"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3.570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2.320</w:t>
            </w:r>
          </w:p>
        </w:tc>
        <w:tc>
          <w:tcPr>
            <w:tcW w:w="1134" w:type="dxa"/>
            <w:shd w:val="clear" w:color="auto" w:fill="auto"/>
          </w:tcPr>
          <w:p w:rsidR="0035497C" w:rsidRPr="009C1FDB" w:rsidRDefault="0035497C" w:rsidP="00E301AD">
            <w:pPr>
              <w:jc w:val="right"/>
              <w:rPr>
                <w:rFonts w:cs="Arial"/>
                <w:sz w:val="20"/>
              </w:rPr>
            </w:pPr>
          </w:p>
        </w:tc>
        <w:tc>
          <w:tcPr>
            <w:tcW w:w="1197" w:type="dxa"/>
            <w:shd w:val="clear" w:color="auto" w:fill="auto"/>
          </w:tcPr>
          <w:p w:rsidR="0035497C" w:rsidRPr="009C1FDB" w:rsidRDefault="0035497C" w:rsidP="00E301AD">
            <w:pPr>
              <w:jc w:val="right"/>
              <w:rPr>
                <w:rFonts w:cs="Arial"/>
                <w:sz w:val="20"/>
              </w:rPr>
            </w:pPr>
            <w:r w:rsidRPr="009C1FDB">
              <w:rPr>
                <w:rFonts w:cs="Arial"/>
                <w:sz w:val="20"/>
              </w:rPr>
              <w:t>5.890</w:t>
            </w:r>
          </w:p>
        </w:tc>
      </w:tr>
      <w:tr w:rsidR="0035497C" w:rsidTr="006A6ADE">
        <w:tc>
          <w:tcPr>
            <w:tcW w:w="4503" w:type="dxa"/>
            <w:tcBorders>
              <w:bottom w:val="single" w:sz="4" w:space="0" w:color="auto"/>
            </w:tcBorders>
            <w:shd w:val="clear" w:color="auto" w:fill="auto"/>
          </w:tcPr>
          <w:p w:rsidR="0035497C" w:rsidRPr="009C1FDB" w:rsidRDefault="0035497C" w:rsidP="00F32527">
            <w:pPr>
              <w:rPr>
                <w:rFonts w:cs="Arial"/>
                <w:sz w:val="20"/>
              </w:rPr>
            </w:pPr>
            <w:r w:rsidRPr="009C1FDB">
              <w:rPr>
                <w:rFonts w:cs="Arial"/>
                <w:sz w:val="20"/>
              </w:rPr>
              <w:t>LCC contribution to City Deal from LTP</w:t>
            </w:r>
          </w:p>
        </w:tc>
        <w:tc>
          <w:tcPr>
            <w:tcW w:w="1275" w:type="dxa"/>
            <w:tcBorders>
              <w:bottom w:val="single" w:sz="4" w:space="0" w:color="auto"/>
            </w:tcBorders>
            <w:shd w:val="clear" w:color="auto" w:fill="auto"/>
          </w:tcPr>
          <w:p w:rsidR="0035497C" w:rsidRPr="009C1FDB" w:rsidRDefault="0035497C" w:rsidP="00E301AD">
            <w:pPr>
              <w:jc w:val="right"/>
              <w:rPr>
                <w:rFonts w:cs="Arial"/>
                <w:sz w:val="20"/>
              </w:rPr>
            </w:pPr>
            <w:r w:rsidRPr="009C1FDB">
              <w:rPr>
                <w:rFonts w:cs="Arial"/>
                <w:sz w:val="20"/>
              </w:rPr>
              <w:t>2.500</w:t>
            </w:r>
          </w:p>
        </w:tc>
        <w:tc>
          <w:tcPr>
            <w:tcW w:w="1134" w:type="dxa"/>
            <w:tcBorders>
              <w:bottom w:val="single" w:sz="4" w:space="0" w:color="auto"/>
            </w:tcBorders>
            <w:shd w:val="clear" w:color="auto" w:fill="auto"/>
          </w:tcPr>
          <w:p w:rsidR="0035497C" w:rsidRPr="009C1FDB" w:rsidRDefault="0035497C" w:rsidP="00E301AD">
            <w:pPr>
              <w:jc w:val="right"/>
              <w:rPr>
                <w:rFonts w:cs="Arial"/>
                <w:sz w:val="20"/>
              </w:rPr>
            </w:pPr>
            <w:r w:rsidRPr="009C1FDB">
              <w:rPr>
                <w:rFonts w:cs="Arial"/>
                <w:sz w:val="20"/>
              </w:rPr>
              <w:t>2.500</w:t>
            </w:r>
          </w:p>
        </w:tc>
        <w:tc>
          <w:tcPr>
            <w:tcW w:w="1134" w:type="dxa"/>
            <w:tcBorders>
              <w:bottom w:val="single" w:sz="4" w:space="0" w:color="auto"/>
            </w:tcBorders>
            <w:shd w:val="clear" w:color="auto" w:fill="auto"/>
          </w:tcPr>
          <w:p w:rsidR="0035497C" w:rsidRPr="009C1FDB" w:rsidRDefault="0035497C" w:rsidP="00E301AD">
            <w:pPr>
              <w:jc w:val="right"/>
              <w:rPr>
                <w:rFonts w:cs="Arial"/>
                <w:sz w:val="20"/>
              </w:rPr>
            </w:pPr>
          </w:p>
        </w:tc>
        <w:tc>
          <w:tcPr>
            <w:tcW w:w="1197" w:type="dxa"/>
            <w:tcBorders>
              <w:bottom w:val="single" w:sz="4" w:space="0" w:color="auto"/>
            </w:tcBorders>
            <w:shd w:val="clear" w:color="auto" w:fill="auto"/>
          </w:tcPr>
          <w:p w:rsidR="0035497C" w:rsidRPr="009C1FDB" w:rsidRDefault="0035497C" w:rsidP="00E301AD">
            <w:pPr>
              <w:jc w:val="right"/>
              <w:rPr>
                <w:rFonts w:cs="Arial"/>
                <w:sz w:val="20"/>
              </w:rPr>
            </w:pPr>
            <w:r w:rsidRPr="009C1FDB">
              <w:rPr>
                <w:rFonts w:cs="Arial"/>
                <w:sz w:val="20"/>
              </w:rPr>
              <w:t>5.000</w:t>
            </w:r>
          </w:p>
        </w:tc>
      </w:tr>
      <w:tr w:rsidR="0035497C" w:rsidTr="006A6ADE">
        <w:tc>
          <w:tcPr>
            <w:tcW w:w="9243" w:type="dxa"/>
            <w:gridSpan w:val="5"/>
            <w:tcBorders>
              <w:left w:val="nil"/>
              <w:bottom w:val="nil"/>
              <w:right w:val="nil"/>
            </w:tcBorders>
            <w:shd w:val="clear" w:color="auto" w:fill="auto"/>
          </w:tcPr>
          <w:p w:rsidR="00E301AD" w:rsidRPr="009C1FDB" w:rsidRDefault="00E301AD" w:rsidP="006A6ADE">
            <w:pPr>
              <w:rPr>
                <w:rFonts w:cs="Arial"/>
                <w:sz w:val="20"/>
              </w:rPr>
            </w:pPr>
          </w:p>
        </w:tc>
      </w:tr>
    </w:tbl>
    <w:p w:rsidR="006A6ADE" w:rsidRDefault="006A6A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134"/>
        <w:gridCol w:w="1134"/>
        <w:gridCol w:w="1197"/>
      </w:tblGrid>
      <w:tr w:rsidR="0035497C" w:rsidTr="00F32527">
        <w:tc>
          <w:tcPr>
            <w:tcW w:w="9243" w:type="dxa"/>
            <w:gridSpan w:val="5"/>
            <w:shd w:val="clear" w:color="auto" w:fill="auto"/>
          </w:tcPr>
          <w:p w:rsidR="0035497C" w:rsidRPr="00203294" w:rsidRDefault="0035497C" w:rsidP="00F32527">
            <w:pPr>
              <w:rPr>
                <w:rFonts w:cs="Arial"/>
              </w:rPr>
            </w:pPr>
            <w:r w:rsidRPr="00203294">
              <w:rPr>
                <w:rFonts w:cs="Arial"/>
                <w:b/>
                <w:u w:val="single"/>
              </w:rPr>
              <w:lastRenderedPageBreak/>
              <w:t xml:space="preserve">New for inclusion in February 2016 programme </w:t>
            </w:r>
          </w:p>
        </w:tc>
      </w:tr>
      <w:tr w:rsidR="0035497C" w:rsidTr="00F32527">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497C" w:rsidRDefault="0035497C" w:rsidP="00F32527">
            <w:pPr>
              <w:ind w:left="360"/>
              <w:rPr>
                <w:rFonts w:cs="Arial"/>
                <w:b/>
                <w:bCs/>
                <w:sz w:val="20"/>
              </w:rPr>
            </w:pPr>
          </w:p>
          <w:p w:rsidR="0035497C" w:rsidRDefault="0035497C" w:rsidP="0035497C">
            <w:pPr>
              <w:numPr>
                <w:ilvl w:val="0"/>
                <w:numId w:val="46"/>
              </w:numPr>
              <w:autoSpaceDE/>
              <w:autoSpaceDN/>
              <w:adjustRightInd/>
              <w:spacing w:after="0"/>
              <w:jc w:val="left"/>
              <w:rPr>
                <w:rFonts w:cs="Arial"/>
                <w:b/>
                <w:sz w:val="20"/>
              </w:rPr>
            </w:pPr>
            <w:r w:rsidRPr="004F2492">
              <w:rPr>
                <w:rFonts w:cs="Arial"/>
                <w:b/>
                <w:sz w:val="20"/>
              </w:rPr>
              <w:t xml:space="preserve">The following amounts have already received Cabinet approval  and are now being listed for inclusion in the draft  Capital Programme </w:t>
            </w:r>
          </w:p>
          <w:p w:rsidR="00E301AD" w:rsidRPr="004F2492" w:rsidRDefault="00E301AD" w:rsidP="00E301AD">
            <w:pPr>
              <w:autoSpaceDE/>
              <w:autoSpaceDN/>
              <w:adjustRightInd/>
              <w:spacing w:after="0"/>
              <w:ind w:left="360"/>
              <w:jc w:val="left"/>
              <w:rPr>
                <w:rFonts w:cs="Arial"/>
                <w:b/>
                <w:sz w:val="20"/>
              </w:rPr>
            </w:pPr>
          </w:p>
        </w:tc>
      </w:tr>
      <w:tr w:rsidR="0035497C" w:rsidTr="00F3252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35497C" w:rsidRPr="009C1FDB" w:rsidRDefault="0035497C" w:rsidP="00F32527">
            <w:pPr>
              <w:ind w:left="360"/>
              <w:rPr>
                <w:rFonts w:cs="Arial"/>
                <w:b/>
                <w:bCs/>
                <w:sz w:val="2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E301AD" w:rsidP="00E301AD">
            <w:pPr>
              <w:jc w:val="center"/>
              <w:rPr>
                <w:rFonts w:cs="Arial"/>
                <w:sz w:val="20"/>
              </w:rPr>
            </w:pPr>
            <w:r w:rsidRPr="009C1FDB">
              <w:rPr>
                <w:rFonts w:cs="Arial"/>
                <w:b/>
                <w:sz w:val="20"/>
              </w:rPr>
              <w:t>2016/17 £m</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F055EA" w:rsidP="00F055EA">
            <w:pPr>
              <w:jc w:val="center"/>
              <w:rPr>
                <w:rFonts w:cs="Arial"/>
                <w:sz w:val="20"/>
              </w:rPr>
            </w:pPr>
            <w:r w:rsidRPr="009C1FDB">
              <w:rPr>
                <w:rFonts w:cs="Arial"/>
                <w:b/>
                <w:sz w:val="20"/>
              </w:rPr>
              <w:t>2017/18 £m</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F055EA" w:rsidP="00F055EA">
            <w:pPr>
              <w:jc w:val="center"/>
              <w:rPr>
                <w:rFonts w:cs="Arial"/>
                <w:sz w:val="20"/>
              </w:rPr>
            </w:pPr>
            <w:r w:rsidRPr="009C1FDB">
              <w:rPr>
                <w:rFonts w:cs="Arial"/>
                <w:b/>
                <w:sz w:val="20"/>
              </w:rPr>
              <w:t>2018/19 £m</w:t>
            </w:r>
          </w:p>
        </w:tc>
        <w:tc>
          <w:tcPr>
            <w:tcW w:w="1197" w:type="dxa"/>
            <w:tcBorders>
              <w:top w:val="single" w:sz="4" w:space="0" w:color="auto"/>
              <w:left w:val="nil"/>
              <w:bottom w:val="single" w:sz="4" w:space="0" w:color="auto"/>
              <w:right w:val="single" w:sz="4" w:space="0" w:color="auto"/>
            </w:tcBorders>
            <w:shd w:val="clear" w:color="auto" w:fill="auto"/>
            <w:vAlign w:val="bottom"/>
          </w:tcPr>
          <w:p w:rsidR="00F055EA" w:rsidRDefault="0035497C" w:rsidP="00F055EA">
            <w:pPr>
              <w:spacing w:after="0"/>
              <w:jc w:val="center"/>
              <w:rPr>
                <w:rFonts w:cs="Arial"/>
                <w:b/>
                <w:sz w:val="20"/>
              </w:rPr>
            </w:pPr>
            <w:r w:rsidRPr="009C1FDB">
              <w:rPr>
                <w:rFonts w:cs="Arial"/>
                <w:sz w:val="20"/>
              </w:rPr>
              <w:t> </w:t>
            </w:r>
            <w:r w:rsidR="00F055EA" w:rsidRPr="009C1FDB">
              <w:rPr>
                <w:rFonts w:cs="Arial"/>
                <w:b/>
                <w:sz w:val="20"/>
              </w:rPr>
              <w:t>Total</w:t>
            </w:r>
          </w:p>
          <w:p w:rsidR="0035497C" w:rsidRPr="009C1FDB" w:rsidRDefault="00F055EA" w:rsidP="00F055EA">
            <w:pPr>
              <w:jc w:val="center"/>
              <w:rPr>
                <w:rFonts w:cs="Arial"/>
                <w:sz w:val="20"/>
              </w:rPr>
            </w:pPr>
            <w:r w:rsidRPr="009C1FDB">
              <w:rPr>
                <w:rFonts w:cs="Arial"/>
                <w:b/>
                <w:sz w:val="20"/>
              </w:rPr>
              <w:t>£m</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bCs/>
                <w:sz w:val="20"/>
              </w:rPr>
            </w:pPr>
            <w:r w:rsidRPr="009C1FDB">
              <w:rPr>
                <w:rFonts w:cs="Arial"/>
                <w:bCs/>
                <w:sz w:val="20"/>
              </w:rPr>
              <w:t xml:space="preserve">Schools Playing Fields programme </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0.783</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0.253</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1.036</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bCs/>
                <w:sz w:val="20"/>
              </w:rPr>
            </w:pPr>
            <w:r w:rsidRPr="009C1FDB">
              <w:rPr>
                <w:rFonts w:cs="Arial"/>
                <w:bCs/>
                <w:sz w:val="20"/>
              </w:rPr>
              <w:t>Local Priorities Response Fund</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2.500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2.500</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bCs/>
                <w:sz w:val="20"/>
              </w:rPr>
            </w:pPr>
            <w:r w:rsidRPr="009C1FDB">
              <w:rPr>
                <w:rFonts w:cs="Arial"/>
                <w:bCs/>
                <w:sz w:val="20"/>
              </w:rPr>
              <w:t xml:space="preserve">Schools </w:t>
            </w:r>
            <w:r>
              <w:rPr>
                <w:rFonts w:cs="Arial"/>
                <w:bCs/>
                <w:sz w:val="20"/>
              </w:rPr>
              <w:t xml:space="preserve">Single </w:t>
            </w:r>
            <w:r w:rsidRPr="009C1FDB">
              <w:rPr>
                <w:rFonts w:cs="Arial"/>
                <w:bCs/>
                <w:sz w:val="20"/>
              </w:rPr>
              <w:t>C</w:t>
            </w:r>
            <w:r>
              <w:rPr>
                <w:rFonts w:cs="Arial"/>
                <w:bCs/>
                <w:sz w:val="20"/>
              </w:rPr>
              <w:t xml:space="preserve">apital </w:t>
            </w:r>
            <w:r w:rsidRPr="009C1FDB">
              <w:rPr>
                <w:rFonts w:cs="Arial"/>
                <w:bCs/>
                <w:sz w:val="20"/>
              </w:rPr>
              <w:t>P</w:t>
            </w:r>
            <w:r>
              <w:rPr>
                <w:rFonts w:cs="Arial"/>
                <w:bCs/>
                <w:sz w:val="20"/>
              </w:rPr>
              <w:t xml:space="preserve">ot grant from DfE for </w:t>
            </w:r>
            <w:r w:rsidRPr="009C1FDB">
              <w:rPr>
                <w:rFonts w:cs="Arial"/>
                <w:bCs/>
                <w:sz w:val="20"/>
              </w:rPr>
              <w:t xml:space="preserve"> Basic Need per Schools Capital Strategy Cabinet Report-allocations for 16/17 </w:t>
            </w:r>
            <w:r>
              <w:rPr>
                <w:rFonts w:cs="Arial"/>
                <w:bCs/>
                <w:sz w:val="20"/>
              </w:rPr>
              <w:t>£</w:t>
            </w:r>
            <w:r w:rsidRPr="009C1FDB">
              <w:rPr>
                <w:rFonts w:cs="Arial"/>
                <w:bCs/>
                <w:sz w:val="20"/>
              </w:rPr>
              <w:t xml:space="preserve">8.891m plus 17/18 </w:t>
            </w:r>
            <w:r>
              <w:rPr>
                <w:rFonts w:cs="Arial"/>
                <w:bCs/>
                <w:sz w:val="20"/>
              </w:rPr>
              <w:t>£</w:t>
            </w:r>
            <w:r w:rsidRPr="009C1FDB">
              <w:rPr>
                <w:rFonts w:cs="Arial"/>
                <w:bCs/>
                <w:sz w:val="20"/>
              </w:rPr>
              <w:t>29.006m ( 17/18 phased over 2 years)</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8.891</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9.006</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20.000</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37.897</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bCs/>
                <w:sz w:val="20"/>
              </w:rPr>
            </w:pPr>
            <w:r w:rsidRPr="009C1FDB">
              <w:rPr>
                <w:rFonts w:cs="Arial"/>
                <w:bCs/>
                <w:sz w:val="20"/>
              </w:rPr>
              <w:t>Property Portfolio Rationalisation</w:t>
            </w:r>
            <w:r w:rsidR="00E301AD">
              <w:rPr>
                <w:rFonts w:cs="Arial"/>
                <w:bCs/>
                <w:sz w:val="20"/>
              </w:rPr>
              <w:t xml:space="preserve"> </w:t>
            </w:r>
            <w:r w:rsidRPr="009C1FDB">
              <w:rPr>
                <w:rFonts w:cs="Arial"/>
                <w:bCs/>
                <w:sz w:val="20"/>
              </w:rPr>
              <w:t>-</w:t>
            </w:r>
            <w:r w:rsidR="00E301AD">
              <w:rPr>
                <w:rFonts w:cs="Arial"/>
                <w:bCs/>
                <w:sz w:val="20"/>
              </w:rPr>
              <w:t xml:space="preserve"> </w:t>
            </w:r>
            <w:r w:rsidRPr="009C1FDB">
              <w:rPr>
                <w:rFonts w:cs="Arial"/>
                <w:bCs/>
                <w:sz w:val="20"/>
              </w:rPr>
              <w:t>Neighbourhood Centres suitability investment</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10.000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5.000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5.000</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20.000</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bCs/>
                <w:sz w:val="20"/>
              </w:rPr>
            </w:pPr>
            <w:r w:rsidRPr="009C1FDB">
              <w:rPr>
                <w:rFonts w:cs="Arial"/>
                <w:bCs/>
                <w:sz w:val="20"/>
              </w:rPr>
              <w:t>Property Portfolio Rationalisation</w:t>
            </w:r>
            <w:r w:rsidR="00E301AD">
              <w:rPr>
                <w:rFonts w:cs="Arial"/>
                <w:bCs/>
                <w:sz w:val="20"/>
              </w:rPr>
              <w:t xml:space="preserve"> </w:t>
            </w:r>
            <w:r w:rsidRPr="009C1FDB">
              <w:rPr>
                <w:rFonts w:cs="Arial"/>
                <w:bCs/>
                <w:sz w:val="20"/>
              </w:rPr>
              <w:t>-Neighbourhood Centres dilapidations on terminated or surrendered leases</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0.750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0.750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bCs/>
                <w:sz w:val="20"/>
              </w:rPr>
            </w:pPr>
            <w:r w:rsidRPr="009C1FDB">
              <w:rPr>
                <w:rFonts w:cs="Arial"/>
                <w:bCs/>
                <w:sz w:val="20"/>
              </w:rPr>
              <w:t>1.500</w:t>
            </w:r>
          </w:p>
        </w:tc>
      </w:tr>
      <w:tr w:rsidR="0035497C" w:rsidTr="00F32527">
        <w:trPr>
          <w:trHeight w:val="883"/>
        </w:trPr>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 xml:space="preserve">Heysham further funding required within </w:t>
            </w:r>
            <w:r>
              <w:rPr>
                <w:rFonts w:cs="Arial"/>
                <w:sz w:val="20"/>
              </w:rPr>
              <w:t>£</w:t>
            </w:r>
            <w:r w:rsidRPr="009C1FDB">
              <w:rPr>
                <w:rFonts w:cs="Arial"/>
                <w:sz w:val="20"/>
              </w:rPr>
              <w:t>130m already approved expenditure</w:t>
            </w:r>
            <w:r>
              <w:rPr>
                <w:rFonts w:cs="Arial"/>
                <w:sz w:val="20"/>
              </w:rPr>
              <w:t>. Funding</w:t>
            </w:r>
            <w:r w:rsidRPr="009C1FDB">
              <w:rPr>
                <w:rFonts w:cs="Arial"/>
                <w:sz w:val="20"/>
              </w:rPr>
              <w:t xml:space="preserve"> not previously put in Capital Programme</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3.772</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3.772</w:t>
            </w:r>
          </w:p>
        </w:tc>
      </w:tr>
      <w:tr w:rsidR="005F13BF" w:rsidRPr="000C6E06"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5F13BF" w:rsidRPr="000C6E06" w:rsidRDefault="005F13BF" w:rsidP="00F32527">
            <w:pPr>
              <w:rPr>
                <w:rFonts w:cs="Arial"/>
                <w:sz w:val="20"/>
              </w:rPr>
            </w:pPr>
            <w:r w:rsidRPr="000C6E06">
              <w:rPr>
                <w:rFonts w:cs="Arial"/>
                <w:sz w:val="20"/>
              </w:rPr>
              <w:t>Phase 2 Skelmersdale Rail Link study</w:t>
            </w:r>
          </w:p>
        </w:tc>
        <w:tc>
          <w:tcPr>
            <w:tcW w:w="1275" w:type="dxa"/>
            <w:tcBorders>
              <w:top w:val="nil"/>
              <w:left w:val="nil"/>
              <w:bottom w:val="single" w:sz="4" w:space="0" w:color="auto"/>
              <w:right w:val="single" w:sz="4" w:space="0" w:color="auto"/>
            </w:tcBorders>
            <w:shd w:val="clear" w:color="auto" w:fill="auto"/>
            <w:vAlign w:val="bottom"/>
          </w:tcPr>
          <w:p w:rsidR="005F13BF" w:rsidRPr="000C6E06" w:rsidRDefault="005F13BF" w:rsidP="00E301AD">
            <w:pPr>
              <w:jc w:val="right"/>
              <w:rPr>
                <w:rFonts w:cs="Arial"/>
                <w:sz w:val="20"/>
              </w:rPr>
            </w:pPr>
            <w:r w:rsidRPr="000C6E06">
              <w:rPr>
                <w:rFonts w:cs="Arial"/>
                <w:sz w:val="20"/>
              </w:rPr>
              <w:t>0.500</w:t>
            </w:r>
          </w:p>
        </w:tc>
        <w:tc>
          <w:tcPr>
            <w:tcW w:w="1134" w:type="dxa"/>
            <w:tcBorders>
              <w:top w:val="nil"/>
              <w:left w:val="nil"/>
              <w:bottom w:val="single" w:sz="4" w:space="0" w:color="auto"/>
              <w:right w:val="single" w:sz="4" w:space="0" w:color="auto"/>
            </w:tcBorders>
            <w:shd w:val="clear" w:color="auto" w:fill="auto"/>
            <w:vAlign w:val="bottom"/>
          </w:tcPr>
          <w:p w:rsidR="005F13BF" w:rsidRPr="000C6E06" w:rsidRDefault="005F13BF" w:rsidP="00E301AD">
            <w:pPr>
              <w:jc w:val="right"/>
              <w:rPr>
                <w:rFonts w:cs="Arial"/>
                <w:sz w:val="20"/>
              </w:rPr>
            </w:pPr>
            <w:r w:rsidRPr="000C6E06">
              <w:rPr>
                <w:rFonts w:cs="Arial"/>
                <w:sz w:val="20"/>
              </w:rPr>
              <w:t>3.200</w:t>
            </w:r>
          </w:p>
        </w:tc>
        <w:tc>
          <w:tcPr>
            <w:tcW w:w="1134" w:type="dxa"/>
            <w:tcBorders>
              <w:top w:val="nil"/>
              <w:left w:val="nil"/>
              <w:bottom w:val="single" w:sz="4" w:space="0" w:color="auto"/>
              <w:right w:val="single" w:sz="4" w:space="0" w:color="auto"/>
            </w:tcBorders>
            <w:shd w:val="clear" w:color="auto" w:fill="auto"/>
            <w:vAlign w:val="bottom"/>
          </w:tcPr>
          <w:p w:rsidR="005F13BF" w:rsidRPr="000C6E06" w:rsidRDefault="005F13BF" w:rsidP="00E301AD">
            <w:pPr>
              <w:jc w:val="right"/>
              <w:rPr>
                <w:rFonts w:cs="Arial"/>
                <w:sz w:val="20"/>
              </w:rPr>
            </w:pPr>
          </w:p>
        </w:tc>
        <w:tc>
          <w:tcPr>
            <w:tcW w:w="1197" w:type="dxa"/>
            <w:tcBorders>
              <w:top w:val="nil"/>
              <w:left w:val="nil"/>
              <w:bottom w:val="single" w:sz="4" w:space="0" w:color="auto"/>
              <w:right w:val="single" w:sz="4" w:space="0" w:color="auto"/>
            </w:tcBorders>
            <w:shd w:val="clear" w:color="auto" w:fill="auto"/>
            <w:vAlign w:val="bottom"/>
          </w:tcPr>
          <w:p w:rsidR="005F13BF" w:rsidRPr="000C6E06" w:rsidRDefault="005F13BF" w:rsidP="00E301AD">
            <w:pPr>
              <w:jc w:val="right"/>
              <w:rPr>
                <w:rFonts w:cs="Arial"/>
                <w:sz w:val="20"/>
              </w:rPr>
            </w:pPr>
            <w:r w:rsidRPr="000C6E06">
              <w:rPr>
                <w:rFonts w:cs="Arial"/>
                <w:sz w:val="20"/>
              </w:rPr>
              <w:t>3.700</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Green Energy Fund</w:t>
            </w:r>
            <w:r>
              <w:rPr>
                <w:rFonts w:cs="Arial"/>
                <w:sz w:val="20"/>
              </w:rPr>
              <w:t xml:space="preserve"> to enable research and development to support and develop green energy businesses, develop energy solutions for the Council and the communities of Lancashire including the use of the Council`s buildings to generate energy, as approved at Full Council 12.2.15. </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2.</w:t>
            </w:r>
            <w:r>
              <w:rPr>
                <w:rFonts w:cs="Arial"/>
                <w:sz w:val="20"/>
              </w:rPr>
              <w:t>5</w:t>
            </w:r>
            <w:r w:rsidRPr="009C1FDB">
              <w:rPr>
                <w:rFonts w:cs="Arial"/>
                <w:sz w:val="20"/>
              </w:rPr>
              <w:t>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2.</w:t>
            </w:r>
            <w:r>
              <w:rPr>
                <w:rFonts w:cs="Arial"/>
                <w:sz w:val="20"/>
              </w:rPr>
              <w:t>5</w:t>
            </w:r>
            <w:r w:rsidRPr="009C1FDB">
              <w:rPr>
                <w:rFonts w:cs="Arial"/>
                <w:sz w:val="20"/>
              </w:rPr>
              <w:t>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E301AD">
            <w:pPr>
              <w:jc w:val="right"/>
              <w:rPr>
                <w:rFonts w:cs="Arial"/>
                <w:sz w:val="20"/>
              </w:rPr>
            </w:pPr>
            <w:r>
              <w:rPr>
                <w:rFonts w:cs="Arial"/>
                <w:sz w:val="20"/>
              </w:rPr>
              <w:t>5</w:t>
            </w:r>
            <w:r w:rsidRPr="009C1FDB">
              <w:rPr>
                <w:rFonts w:cs="Arial"/>
                <w:sz w:val="20"/>
              </w:rPr>
              <w:t>.000</w:t>
            </w:r>
          </w:p>
        </w:tc>
      </w:tr>
      <w:tr w:rsidR="0035497C" w:rsidTr="00F32527">
        <w:trPr>
          <w:trHeight w:val="1988"/>
        </w:trPr>
        <w:tc>
          <w:tcPr>
            <w:tcW w:w="9243" w:type="dxa"/>
            <w:gridSpan w:val="5"/>
            <w:tcBorders>
              <w:top w:val="nil"/>
              <w:left w:val="single" w:sz="4" w:space="0" w:color="auto"/>
              <w:bottom w:val="single" w:sz="4" w:space="0" w:color="auto"/>
              <w:right w:val="single" w:sz="4" w:space="0" w:color="auto"/>
            </w:tcBorders>
            <w:shd w:val="clear" w:color="auto" w:fill="auto"/>
            <w:vAlign w:val="center"/>
          </w:tcPr>
          <w:p w:rsidR="0035497C" w:rsidRDefault="0035497C" w:rsidP="00F32527">
            <w:pPr>
              <w:ind w:left="360"/>
              <w:rPr>
                <w:rFonts w:cs="Arial"/>
                <w:b/>
                <w:bCs/>
                <w:sz w:val="20"/>
              </w:rPr>
            </w:pPr>
          </w:p>
          <w:p w:rsidR="0035497C" w:rsidRDefault="0035497C" w:rsidP="00F055EA">
            <w:pPr>
              <w:numPr>
                <w:ilvl w:val="0"/>
                <w:numId w:val="46"/>
              </w:numPr>
              <w:autoSpaceDE/>
              <w:autoSpaceDN/>
              <w:adjustRightInd/>
              <w:spacing w:after="0"/>
              <w:rPr>
                <w:rFonts w:cs="Arial"/>
                <w:bCs/>
                <w:color w:val="FF0000"/>
                <w:sz w:val="20"/>
              </w:rPr>
            </w:pPr>
            <w:r w:rsidRPr="00203294">
              <w:rPr>
                <w:rFonts w:cs="Arial"/>
                <w:b/>
                <w:bCs/>
                <w:sz w:val="20"/>
              </w:rPr>
              <w:t>The following amounts have NOT previously received Cabinet approval. Each year DfT and DfE provide Single Capital Pot grants for Highways, Transport and Schools capital programmes. The figures below represent the value of those programmes that are equivalent to the amount indicated as being available by DfT and DfE, but not yet confirmed.</w:t>
            </w:r>
            <w:r w:rsidRPr="00203294">
              <w:rPr>
                <w:rFonts w:cs="Arial"/>
                <w:bCs/>
                <w:color w:val="FF0000"/>
                <w:sz w:val="20"/>
              </w:rPr>
              <w:t> </w:t>
            </w:r>
            <w:r w:rsidRPr="007A5799">
              <w:rPr>
                <w:rFonts w:cs="Arial"/>
                <w:b/>
                <w:bCs/>
                <w:sz w:val="20"/>
              </w:rPr>
              <w:t>Historically these amounts have been "passported" to be spent as indicated by DfT and DfE, but this principle could now be reconsidered. The only restrictions attached to these grants are that they are to be spent on capital.</w:t>
            </w:r>
            <w:r>
              <w:rPr>
                <w:rFonts w:cs="Arial"/>
                <w:bCs/>
                <w:sz w:val="20"/>
              </w:rPr>
              <w:t xml:space="preserve"> </w:t>
            </w:r>
            <w:r w:rsidRPr="009C1FDB">
              <w:rPr>
                <w:rFonts w:cs="Arial"/>
                <w:bCs/>
                <w:color w:val="FF0000"/>
                <w:sz w:val="20"/>
              </w:rPr>
              <w:t> </w:t>
            </w:r>
          </w:p>
          <w:p w:rsidR="00F055EA" w:rsidRPr="009C1FDB" w:rsidRDefault="00F055EA" w:rsidP="00F055EA">
            <w:pPr>
              <w:autoSpaceDE/>
              <w:autoSpaceDN/>
              <w:adjustRightInd/>
              <w:spacing w:after="0"/>
              <w:ind w:left="360"/>
              <w:rPr>
                <w:rFonts w:cs="Arial"/>
                <w:bCs/>
                <w:color w:val="FF0000"/>
                <w:sz w:val="20"/>
              </w:rPr>
            </w:pP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Highways Maintenance equivalent to indicative allocation</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18.567</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18.567</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 xml:space="preserve">Transport equivalent to indicative ( </w:t>
            </w:r>
            <w:r>
              <w:rPr>
                <w:rFonts w:cs="Arial"/>
                <w:bCs/>
                <w:sz w:val="20"/>
              </w:rPr>
              <w:t>£</w:t>
            </w:r>
            <w:r w:rsidRPr="009C1FDB">
              <w:rPr>
                <w:rFonts w:cs="Arial"/>
                <w:bCs/>
                <w:sz w:val="20"/>
              </w:rPr>
              <w:t>6.054m less C</w:t>
            </w:r>
            <w:r>
              <w:rPr>
                <w:rFonts w:cs="Arial"/>
                <w:bCs/>
                <w:sz w:val="20"/>
              </w:rPr>
              <w:t>ity</w:t>
            </w:r>
            <w:r w:rsidRPr="009C1FDB">
              <w:rPr>
                <w:rFonts w:cs="Arial"/>
                <w:bCs/>
                <w:sz w:val="20"/>
              </w:rPr>
              <w:t xml:space="preserve"> </w:t>
            </w:r>
            <w:r>
              <w:rPr>
                <w:rFonts w:cs="Arial"/>
                <w:bCs/>
                <w:sz w:val="20"/>
              </w:rPr>
              <w:t>D</w:t>
            </w:r>
            <w:r w:rsidRPr="009C1FDB">
              <w:rPr>
                <w:rFonts w:cs="Arial"/>
                <w:bCs/>
                <w:sz w:val="20"/>
              </w:rPr>
              <w:t>eal contrib</w:t>
            </w:r>
            <w:r>
              <w:rPr>
                <w:rFonts w:cs="Arial"/>
                <w:bCs/>
                <w:sz w:val="20"/>
              </w:rPr>
              <w:t>ution £</w:t>
            </w:r>
            <w:r w:rsidRPr="009C1FDB">
              <w:rPr>
                <w:rFonts w:cs="Arial"/>
                <w:bCs/>
                <w:sz w:val="20"/>
              </w:rPr>
              <w:t xml:space="preserve"> 2.5m) </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3.554</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3.554</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 xml:space="preserve">Contribution  to City </w:t>
            </w:r>
            <w:r>
              <w:rPr>
                <w:rFonts w:cs="Arial"/>
                <w:bCs/>
                <w:sz w:val="20"/>
              </w:rPr>
              <w:t>D</w:t>
            </w:r>
            <w:r w:rsidRPr="009C1FDB">
              <w:rPr>
                <w:rFonts w:cs="Arial"/>
                <w:bCs/>
                <w:sz w:val="20"/>
              </w:rPr>
              <w:t>eal</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2.500</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2.500</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bottom"/>
          </w:tcPr>
          <w:p w:rsidR="0035497C" w:rsidRPr="009C1FDB" w:rsidRDefault="0035497C" w:rsidP="00F32527">
            <w:pPr>
              <w:rPr>
                <w:rFonts w:cs="Arial"/>
                <w:bCs/>
                <w:sz w:val="20"/>
              </w:rPr>
            </w:pPr>
            <w:r w:rsidRPr="009C1FDB">
              <w:rPr>
                <w:rFonts w:cs="Arial"/>
                <w:bCs/>
                <w:sz w:val="20"/>
              </w:rPr>
              <w:t>S</w:t>
            </w:r>
            <w:r>
              <w:rPr>
                <w:rFonts w:cs="Arial"/>
                <w:bCs/>
                <w:sz w:val="20"/>
              </w:rPr>
              <w:t xml:space="preserve">ingle </w:t>
            </w:r>
            <w:r w:rsidRPr="009C1FDB">
              <w:rPr>
                <w:rFonts w:cs="Arial"/>
                <w:bCs/>
                <w:sz w:val="20"/>
              </w:rPr>
              <w:t>C</w:t>
            </w:r>
            <w:r>
              <w:rPr>
                <w:rFonts w:cs="Arial"/>
                <w:bCs/>
                <w:sz w:val="20"/>
              </w:rPr>
              <w:t xml:space="preserve">apital </w:t>
            </w:r>
            <w:r w:rsidRPr="009C1FDB">
              <w:rPr>
                <w:rFonts w:cs="Arial"/>
                <w:bCs/>
                <w:sz w:val="20"/>
              </w:rPr>
              <w:t>P</w:t>
            </w:r>
            <w:r>
              <w:rPr>
                <w:rFonts w:cs="Arial"/>
                <w:bCs/>
                <w:sz w:val="20"/>
              </w:rPr>
              <w:t>ot</w:t>
            </w:r>
            <w:r w:rsidRPr="009C1FDB">
              <w:rPr>
                <w:rFonts w:cs="Arial"/>
                <w:bCs/>
                <w:sz w:val="20"/>
              </w:rPr>
              <w:t xml:space="preserve"> Schools indicative Condition allocations</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11.319</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11.319</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sz w:val="20"/>
              </w:rPr>
            </w:pPr>
            <w:r w:rsidRPr="009C1FDB">
              <w:rPr>
                <w:rFonts w:cs="Arial"/>
                <w:bCs/>
                <w:sz w:val="20"/>
              </w:rPr>
              <w:t>22.638</w:t>
            </w:r>
          </w:p>
        </w:tc>
      </w:tr>
      <w:tr w:rsidR="0035497C" w:rsidTr="00F32527">
        <w:trPr>
          <w:trHeight w:val="301"/>
        </w:trPr>
        <w:tc>
          <w:tcPr>
            <w:tcW w:w="4503" w:type="dxa"/>
            <w:tcBorders>
              <w:top w:val="nil"/>
              <w:left w:val="single" w:sz="4" w:space="0" w:color="auto"/>
              <w:bottom w:val="single" w:sz="4" w:space="0" w:color="auto"/>
              <w:right w:val="single" w:sz="4" w:space="0" w:color="auto"/>
            </w:tcBorders>
            <w:shd w:val="clear" w:color="auto" w:fill="auto"/>
            <w:vAlign w:val="center"/>
          </w:tcPr>
          <w:p w:rsidR="0035497C" w:rsidRDefault="0035497C" w:rsidP="0035497C">
            <w:pPr>
              <w:numPr>
                <w:ilvl w:val="0"/>
                <w:numId w:val="46"/>
              </w:numPr>
              <w:autoSpaceDE/>
              <w:autoSpaceDN/>
              <w:adjustRightInd/>
              <w:spacing w:after="0"/>
              <w:jc w:val="left"/>
              <w:rPr>
                <w:rFonts w:cs="Arial"/>
                <w:b/>
                <w:bCs/>
                <w:sz w:val="20"/>
              </w:rPr>
            </w:pPr>
            <w:r w:rsidRPr="007A5799">
              <w:rPr>
                <w:rFonts w:cs="Arial"/>
                <w:b/>
                <w:bCs/>
                <w:sz w:val="20"/>
              </w:rPr>
              <w:t>Economic Development schemes</w:t>
            </w:r>
          </w:p>
          <w:p w:rsidR="00F055EA" w:rsidRPr="008E3551" w:rsidRDefault="00F055EA" w:rsidP="00F055EA">
            <w:pPr>
              <w:autoSpaceDE/>
              <w:autoSpaceDN/>
              <w:adjustRightInd/>
              <w:spacing w:after="0"/>
              <w:ind w:left="360"/>
              <w:jc w:val="left"/>
              <w:rPr>
                <w:rFonts w:cs="Arial"/>
                <w:b/>
                <w:bCs/>
                <w:sz w:val="20"/>
              </w:rPr>
            </w:pP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bCs/>
                <w:color w:val="FF0000"/>
                <w:sz w:val="20"/>
              </w:rPr>
            </w:pPr>
            <w:r w:rsidRPr="009C1FDB">
              <w:rPr>
                <w:rFonts w:cs="Arial"/>
                <w:bCs/>
                <w:color w:val="FF0000"/>
                <w:sz w:val="20"/>
              </w:rPr>
              <w:t> </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4E3E0F" w:rsidRDefault="0035497C" w:rsidP="00F32527">
            <w:pPr>
              <w:rPr>
                <w:rFonts w:cs="Arial"/>
                <w:sz w:val="20"/>
              </w:rPr>
            </w:pPr>
            <w:r w:rsidRPr="004E3E0F">
              <w:rPr>
                <w:rFonts w:cs="Arial"/>
                <w:sz w:val="20"/>
              </w:rPr>
              <w:t>SFBB Phase 2</w:t>
            </w:r>
          </w:p>
        </w:tc>
        <w:tc>
          <w:tcPr>
            <w:tcW w:w="1275" w:type="dxa"/>
            <w:tcBorders>
              <w:top w:val="nil"/>
              <w:left w:val="nil"/>
              <w:bottom w:val="single" w:sz="4" w:space="0" w:color="auto"/>
              <w:right w:val="single" w:sz="4" w:space="0" w:color="auto"/>
            </w:tcBorders>
            <w:shd w:val="clear" w:color="auto" w:fill="auto"/>
            <w:vAlign w:val="bottom"/>
          </w:tcPr>
          <w:p w:rsidR="0035497C" w:rsidRPr="004E3E0F" w:rsidRDefault="0035497C" w:rsidP="00F055EA">
            <w:pPr>
              <w:jc w:val="right"/>
              <w:rPr>
                <w:rFonts w:cs="Arial"/>
                <w:sz w:val="20"/>
              </w:rPr>
            </w:pPr>
            <w:r w:rsidRPr="004E3E0F">
              <w:rPr>
                <w:rFonts w:cs="Arial"/>
                <w:sz w:val="20"/>
              </w:rPr>
              <w:t>2.400</w:t>
            </w:r>
          </w:p>
        </w:tc>
        <w:tc>
          <w:tcPr>
            <w:tcW w:w="1134" w:type="dxa"/>
            <w:tcBorders>
              <w:top w:val="nil"/>
              <w:left w:val="nil"/>
              <w:bottom w:val="single" w:sz="4" w:space="0" w:color="auto"/>
              <w:right w:val="single" w:sz="4" w:space="0" w:color="auto"/>
            </w:tcBorders>
            <w:shd w:val="clear" w:color="auto" w:fill="auto"/>
            <w:vAlign w:val="bottom"/>
          </w:tcPr>
          <w:p w:rsidR="0035497C" w:rsidRPr="004E3E0F" w:rsidRDefault="0035497C" w:rsidP="00F055EA">
            <w:pPr>
              <w:jc w:val="right"/>
              <w:rPr>
                <w:rFonts w:cs="Arial"/>
                <w:sz w:val="20"/>
              </w:rPr>
            </w:pPr>
            <w:r w:rsidRPr="004E3E0F">
              <w:rPr>
                <w:rFonts w:cs="Arial"/>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4E3E0F" w:rsidRDefault="0035497C" w:rsidP="00F055EA">
            <w:pPr>
              <w:jc w:val="right"/>
              <w:rPr>
                <w:rFonts w:cs="Arial"/>
                <w:sz w:val="20"/>
              </w:rPr>
            </w:pPr>
            <w:r w:rsidRPr="004E3E0F">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4E3E0F" w:rsidRDefault="0035497C" w:rsidP="00F055EA">
            <w:pPr>
              <w:jc w:val="right"/>
              <w:rPr>
                <w:rFonts w:cs="Arial"/>
                <w:sz w:val="20"/>
              </w:rPr>
            </w:pPr>
            <w:r w:rsidRPr="004E3E0F">
              <w:rPr>
                <w:rFonts w:cs="Arial"/>
                <w:sz w:val="20"/>
              </w:rPr>
              <w:t>2.400</w:t>
            </w:r>
          </w:p>
        </w:tc>
      </w:tr>
    </w:tbl>
    <w:p w:rsidR="0035497C" w:rsidRDefault="0035497C" w:rsidP="003549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134"/>
        <w:gridCol w:w="1134"/>
        <w:gridCol w:w="1197"/>
      </w:tblGrid>
      <w:tr w:rsidR="0035497C" w:rsidRPr="008D7BF3" w:rsidTr="00F32527">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497C" w:rsidRDefault="0035497C" w:rsidP="0035497C">
            <w:pPr>
              <w:numPr>
                <w:ilvl w:val="0"/>
                <w:numId w:val="46"/>
              </w:numPr>
              <w:autoSpaceDE/>
              <w:autoSpaceDN/>
              <w:adjustRightInd/>
              <w:spacing w:after="0"/>
              <w:jc w:val="left"/>
              <w:rPr>
                <w:rFonts w:cs="Arial"/>
                <w:sz w:val="20"/>
              </w:rPr>
            </w:pPr>
            <w:r w:rsidRPr="007A5799">
              <w:rPr>
                <w:rFonts w:cs="Arial"/>
                <w:b/>
                <w:bCs/>
                <w:sz w:val="20"/>
              </w:rPr>
              <w:lastRenderedPageBreak/>
              <w:t xml:space="preserve">The following were Budget Options approved at Cabinet </w:t>
            </w:r>
            <w:r>
              <w:rPr>
                <w:rFonts w:cs="Arial"/>
                <w:b/>
                <w:bCs/>
                <w:sz w:val="20"/>
              </w:rPr>
              <w:t xml:space="preserve">on </w:t>
            </w:r>
            <w:r w:rsidRPr="007A5799">
              <w:rPr>
                <w:rFonts w:cs="Arial"/>
                <w:b/>
                <w:bCs/>
                <w:sz w:val="20"/>
              </w:rPr>
              <w:t>26</w:t>
            </w:r>
            <w:r w:rsidRPr="007A5799">
              <w:rPr>
                <w:rFonts w:cs="Arial"/>
                <w:b/>
                <w:bCs/>
                <w:sz w:val="20"/>
                <w:vertAlign w:val="superscript"/>
              </w:rPr>
              <w:t>th</w:t>
            </w:r>
            <w:r>
              <w:rPr>
                <w:rFonts w:cs="Arial"/>
                <w:b/>
                <w:bCs/>
                <w:sz w:val="20"/>
              </w:rPr>
              <w:t xml:space="preserve"> November 201</w:t>
            </w:r>
            <w:r w:rsidRPr="007A5799">
              <w:rPr>
                <w:rFonts w:cs="Arial"/>
                <w:b/>
                <w:bCs/>
                <w:sz w:val="20"/>
              </w:rPr>
              <w:t>5.</w:t>
            </w:r>
            <w:r w:rsidRPr="009C1FDB">
              <w:rPr>
                <w:rFonts w:cs="Arial"/>
                <w:sz w:val="20"/>
              </w:rPr>
              <w:t>  </w:t>
            </w:r>
          </w:p>
          <w:p w:rsidR="00F055EA" w:rsidRPr="009C1FDB" w:rsidRDefault="00F055EA" w:rsidP="00F055EA">
            <w:pPr>
              <w:autoSpaceDE/>
              <w:autoSpaceDN/>
              <w:adjustRightInd/>
              <w:spacing w:after="0"/>
              <w:ind w:left="360"/>
              <w:jc w:val="left"/>
              <w:rPr>
                <w:rFonts w:cs="Arial"/>
                <w:sz w:val="20"/>
              </w:rPr>
            </w:pPr>
          </w:p>
        </w:tc>
      </w:tr>
      <w:tr w:rsidR="0035497C" w:rsidRPr="008D7BF3"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 xml:space="preserve">County Hall refurbishment ( </w:t>
            </w:r>
            <w:r>
              <w:rPr>
                <w:rFonts w:cs="Arial"/>
                <w:sz w:val="20"/>
              </w:rPr>
              <w:t>£</w:t>
            </w:r>
            <w:r w:rsidRPr="009C1FDB">
              <w:rPr>
                <w:rFonts w:cs="Arial"/>
                <w:sz w:val="20"/>
              </w:rPr>
              <w:t xml:space="preserve">1.4m training/ conference centre plus </w:t>
            </w:r>
            <w:r>
              <w:rPr>
                <w:rFonts w:cs="Arial"/>
                <w:sz w:val="20"/>
              </w:rPr>
              <w:t>£</w:t>
            </w:r>
            <w:r w:rsidRPr="009C1FDB">
              <w:rPr>
                <w:rFonts w:cs="Arial"/>
                <w:sz w:val="20"/>
              </w:rPr>
              <w:t>2.2m for office refurb)</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3.600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3.600</w:t>
            </w:r>
          </w:p>
        </w:tc>
      </w:tr>
      <w:tr w:rsidR="0035497C" w:rsidRPr="008D7BF3"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Parish Buses</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0.500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0.500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1.000</w:t>
            </w:r>
          </w:p>
        </w:tc>
      </w:tr>
      <w:tr w:rsidR="0035497C" w:rsidRPr="008D7BF3"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Street Lighting Energy Contract</w:t>
            </w:r>
            <w:r>
              <w:rPr>
                <w:rFonts w:cs="Arial"/>
                <w:sz w:val="20"/>
              </w:rPr>
              <w:t xml:space="preserve"> Invest to save to convert 50% of remaining non LED lanterns not currently being replaced via DfT Challenge Fund programme</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Pr>
                <w:rFonts w:cs="Arial"/>
                <w:sz w:val="20"/>
              </w:rPr>
              <w:t>2.0</w:t>
            </w:r>
            <w:r w:rsidRPr="009C1FDB">
              <w:rPr>
                <w:rFonts w:cs="Arial"/>
                <w:sz w:val="20"/>
              </w:rPr>
              <w:t>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Pr>
                <w:rFonts w:cs="Arial"/>
                <w:sz w:val="20"/>
              </w:rPr>
              <w:t>3</w:t>
            </w:r>
            <w:r w:rsidRPr="009C1FDB">
              <w:rPr>
                <w:rFonts w:cs="Arial"/>
                <w:sz w:val="20"/>
              </w:rPr>
              <w:t>.</w:t>
            </w:r>
            <w:r>
              <w:rPr>
                <w:rFonts w:cs="Arial"/>
                <w:sz w:val="20"/>
              </w:rPr>
              <w:t>0</w:t>
            </w:r>
            <w:r w:rsidRPr="009C1FDB">
              <w:rPr>
                <w:rFonts w:cs="Arial"/>
                <w:sz w:val="20"/>
              </w:rPr>
              <w:t>00</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Pr>
                <w:rFonts w:cs="Arial"/>
                <w:sz w:val="20"/>
              </w:rPr>
              <w:t>5</w:t>
            </w:r>
            <w:r w:rsidRPr="009C1FDB">
              <w:rPr>
                <w:rFonts w:cs="Arial"/>
                <w:sz w:val="20"/>
              </w:rPr>
              <w:t>.000</w:t>
            </w:r>
          </w:p>
        </w:tc>
      </w:tr>
      <w:tr w:rsidR="0035497C" w:rsidRPr="008D7BF3"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Asset management and Buildings Capital Programme and Energy Team</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0.411</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0.418</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0.829</w:t>
            </w:r>
          </w:p>
        </w:tc>
      </w:tr>
      <w:tr w:rsidR="0035497C" w:rsidRPr="008D7BF3"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Asset Management Highways</w:t>
            </w:r>
            <w:r>
              <w:rPr>
                <w:rFonts w:cs="Arial"/>
                <w:sz w:val="20"/>
              </w:rPr>
              <w:t xml:space="preserve"> team</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0.096</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0.098</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0.194</w:t>
            </w:r>
          </w:p>
        </w:tc>
      </w:tr>
      <w:tr w:rsidR="0035497C" w:rsidRPr="008D7BF3"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Provision Planning</w:t>
            </w:r>
            <w:r>
              <w:rPr>
                <w:rFonts w:cs="Arial"/>
                <w:sz w:val="20"/>
              </w:rPr>
              <w:t xml:space="preserve"> team</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0.267</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0.272</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0.539</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Public Rights of Way</w:t>
            </w:r>
            <w:r>
              <w:rPr>
                <w:rFonts w:cs="Arial"/>
                <w:sz w:val="20"/>
              </w:rPr>
              <w:t xml:space="preserve"> team</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0.084</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0.085</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0.169</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 xml:space="preserve">Environment and Community </w:t>
            </w:r>
            <w:r>
              <w:rPr>
                <w:rFonts w:cs="Arial"/>
                <w:sz w:val="20"/>
              </w:rPr>
              <w:t>t</w:t>
            </w:r>
            <w:r w:rsidRPr="009C1FDB">
              <w:rPr>
                <w:rFonts w:cs="Arial"/>
                <w:sz w:val="20"/>
              </w:rPr>
              <w:t>eam</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0.313</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0.319</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0.632</w:t>
            </w:r>
          </w:p>
        </w:tc>
      </w:tr>
      <w:tr w:rsidR="0035497C" w:rsidTr="00F32527">
        <w:tc>
          <w:tcPr>
            <w:tcW w:w="4503" w:type="dxa"/>
            <w:tcBorders>
              <w:top w:val="nil"/>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sz w:val="20"/>
              </w:rPr>
            </w:pPr>
            <w:r w:rsidRPr="009C1FDB">
              <w:rPr>
                <w:rFonts w:cs="Arial"/>
                <w:sz w:val="20"/>
              </w:rPr>
              <w:t>Programme Office</w:t>
            </w:r>
            <w:r>
              <w:rPr>
                <w:rFonts w:cs="Arial"/>
                <w:sz w:val="20"/>
              </w:rPr>
              <w:t xml:space="preserve"> team</w:t>
            </w:r>
          </w:p>
        </w:tc>
        <w:tc>
          <w:tcPr>
            <w:tcW w:w="1275"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1.448</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1.475</w:t>
            </w:r>
          </w:p>
        </w:tc>
        <w:tc>
          <w:tcPr>
            <w:tcW w:w="1134"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nil"/>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2.923</w:t>
            </w:r>
          </w:p>
        </w:tc>
      </w:tr>
      <w:tr w:rsidR="0035497C" w:rsidTr="00F3252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35497C" w:rsidRPr="009C1FDB" w:rsidRDefault="0035497C" w:rsidP="00F32527">
            <w:pPr>
              <w:rPr>
                <w:rFonts w:cs="Arial"/>
                <w:bCs/>
                <w:color w:val="FF0000"/>
                <w:sz w:val="20"/>
                <w:u w:val="single"/>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9C1FDB" w:rsidRDefault="0035497C" w:rsidP="00F055EA">
            <w:pPr>
              <w:jc w:val="right"/>
              <w:rPr>
                <w:rFonts w:cs="Arial"/>
                <w:sz w:val="20"/>
              </w:rPr>
            </w:pPr>
            <w:r w:rsidRPr="009C1FDB">
              <w:rPr>
                <w:rFonts w:cs="Arial"/>
                <w:sz w:val="20"/>
              </w:rPr>
              <w:t> </w:t>
            </w:r>
          </w:p>
        </w:tc>
      </w:tr>
      <w:tr w:rsidR="0035497C" w:rsidRPr="000C6E06" w:rsidTr="00F32527">
        <w:tc>
          <w:tcPr>
            <w:tcW w:w="4503" w:type="dxa"/>
            <w:shd w:val="clear" w:color="auto" w:fill="auto"/>
          </w:tcPr>
          <w:p w:rsidR="0035497C" w:rsidRPr="00151414" w:rsidRDefault="0035497C" w:rsidP="00F32527">
            <w:pPr>
              <w:rPr>
                <w:rFonts w:cs="Arial"/>
                <w:b/>
              </w:rPr>
            </w:pPr>
            <w:r w:rsidRPr="00151414">
              <w:rPr>
                <w:rFonts w:cs="Arial"/>
                <w:b/>
              </w:rPr>
              <w:t>Total Programme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0C6E06" w:rsidRDefault="005F13BF" w:rsidP="00F055EA">
            <w:pPr>
              <w:jc w:val="right"/>
              <w:rPr>
                <w:rFonts w:cs="Arial"/>
                <w:b/>
                <w:bCs/>
              </w:rPr>
            </w:pPr>
            <w:r w:rsidRPr="000C6E06">
              <w:rPr>
                <w:rFonts w:cs="Arial"/>
                <w:b/>
                <w:bCs/>
              </w:rPr>
              <w:t>103.8</w:t>
            </w:r>
            <w:r w:rsidR="0035497C" w:rsidRPr="000C6E06">
              <w:rPr>
                <w:rFonts w:cs="Arial"/>
                <w:b/>
                <w:bCs/>
              </w:rPr>
              <w:t>05</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0C6E06" w:rsidRDefault="005F13BF" w:rsidP="00F055EA">
            <w:pPr>
              <w:jc w:val="right"/>
              <w:rPr>
                <w:rFonts w:cs="Arial"/>
                <w:b/>
                <w:bCs/>
              </w:rPr>
            </w:pPr>
            <w:r w:rsidRPr="000C6E06">
              <w:rPr>
                <w:rFonts w:cs="Arial"/>
                <w:b/>
                <w:bCs/>
              </w:rPr>
              <w:t>77.024</w:t>
            </w:r>
          </w:p>
        </w:tc>
        <w:tc>
          <w:tcPr>
            <w:tcW w:w="1134" w:type="dxa"/>
            <w:tcBorders>
              <w:top w:val="single" w:sz="4" w:space="0" w:color="auto"/>
              <w:left w:val="nil"/>
              <w:bottom w:val="single" w:sz="4" w:space="0" w:color="auto"/>
              <w:right w:val="single" w:sz="4" w:space="0" w:color="auto"/>
            </w:tcBorders>
            <w:shd w:val="clear" w:color="auto" w:fill="auto"/>
            <w:vAlign w:val="bottom"/>
          </w:tcPr>
          <w:p w:rsidR="0035497C" w:rsidRPr="000C6E06" w:rsidRDefault="0035497C" w:rsidP="00F055EA">
            <w:pPr>
              <w:jc w:val="right"/>
              <w:rPr>
                <w:rFonts w:cs="Arial"/>
                <w:b/>
                <w:bCs/>
              </w:rPr>
            </w:pPr>
            <w:r w:rsidRPr="000C6E06">
              <w:rPr>
                <w:rFonts w:cs="Arial"/>
                <w:b/>
                <w:bCs/>
              </w:rPr>
              <w:t>49.621</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0C6E06" w:rsidRDefault="005F13BF" w:rsidP="00F055EA">
            <w:pPr>
              <w:jc w:val="right"/>
              <w:rPr>
                <w:rFonts w:cs="Arial"/>
                <w:b/>
                <w:bCs/>
              </w:rPr>
            </w:pPr>
            <w:r w:rsidRPr="000C6E06">
              <w:rPr>
                <w:rFonts w:cs="Arial"/>
                <w:b/>
                <w:bCs/>
              </w:rPr>
              <w:t>229.950</w:t>
            </w:r>
          </w:p>
        </w:tc>
      </w:tr>
    </w:tbl>
    <w:p w:rsidR="00F055EA" w:rsidRDefault="00F055EA" w:rsidP="00F055EA">
      <w:pPr>
        <w:spacing w:after="0"/>
      </w:pPr>
    </w:p>
    <w:p w:rsidR="00E64FBD" w:rsidRDefault="0035497C" w:rsidP="00F055EA">
      <w:pPr>
        <w:spacing w:after="0"/>
      </w:pPr>
      <w:r>
        <w:t xml:space="preserve">The table above does not include the impact arising from variances in expenditure and funding during 2015/16. Analysis of this impact will be undertaken as part of the year end accounting process, but monitoring currently suggests that expenditure in 2015/16 is likely to be less than budget in total (see Appendix B). </w:t>
      </w:r>
    </w:p>
    <w:p w:rsidR="00F055EA" w:rsidRDefault="00F055EA" w:rsidP="00F055EA">
      <w:pPr>
        <w:spacing w:after="0"/>
      </w:pPr>
    </w:p>
    <w:p w:rsidR="00E64FBD" w:rsidRDefault="0035497C" w:rsidP="00F055EA">
      <w:pPr>
        <w:spacing w:after="0"/>
      </w:pPr>
      <w:r>
        <w:t>The Commissioning function has prepared, and is currently implementing a comprehensive timeline which takes projects from the design stage through to detailed implementation with project managers.  At the January meeting of the Capital Programme Board will be reviewing a new programme development framework which will reflect the new corporate structure.</w:t>
      </w:r>
    </w:p>
    <w:p w:rsidR="00F055EA" w:rsidRDefault="00F055EA" w:rsidP="00F055EA">
      <w:pPr>
        <w:spacing w:after="0"/>
      </w:pPr>
    </w:p>
    <w:p w:rsidR="0035497C" w:rsidRDefault="0035497C" w:rsidP="00F055EA">
      <w:pPr>
        <w:spacing w:after="0"/>
      </w:pPr>
      <w:r w:rsidRPr="009168AF">
        <w:t>It should be noted that the above is based upon the principle agreed with the</w:t>
      </w:r>
      <w:r>
        <w:t xml:space="preserve"> Budget Scrutiny Working Group that prudential borrowing should take place wherever possible, rather than utilisation of capital reserves.  Capitalisation of activity is subject to regulatory control and a review is undertaken prior to capitalisation to ensure compliance. In particular, within the CIPFA code, site selection is not regarded as eligible capital expenditure.</w:t>
      </w:r>
    </w:p>
    <w:p w:rsidR="00F055EA" w:rsidRDefault="00F055EA" w:rsidP="00F055EA">
      <w:pPr>
        <w:spacing w:after="0"/>
      </w:pPr>
    </w:p>
    <w:p w:rsidR="0035497C" w:rsidRDefault="0035497C" w:rsidP="00F055EA">
      <w:pPr>
        <w:pStyle w:val="ListParagraph"/>
        <w:numPr>
          <w:ilvl w:val="0"/>
          <w:numId w:val="41"/>
        </w:numPr>
        <w:spacing w:after="0"/>
        <w:ind w:left="284" w:hanging="284"/>
        <w:rPr>
          <w:b/>
        </w:rPr>
      </w:pPr>
      <w:r w:rsidRPr="00F055EA">
        <w:rPr>
          <w:b/>
        </w:rPr>
        <w:t>Funding Implications</w:t>
      </w:r>
    </w:p>
    <w:p w:rsidR="00F055EA" w:rsidRPr="00F055EA" w:rsidRDefault="00F055EA" w:rsidP="00F055EA">
      <w:pPr>
        <w:pStyle w:val="ListParagraph"/>
        <w:spacing w:after="0"/>
        <w:ind w:left="284"/>
        <w:rPr>
          <w:b/>
        </w:rPr>
      </w:pPr>
    </w:p>
    <w:p w:rsidR="0035497C" w:rsidRDefault="0035497C" w:rsidP="0035497C">
      <w:r>
        <w:t>The capital programme is currently funded by a variety of funding streams including specific government capital grants, capital receipts, LCC revenue funds and prudential borrowing.  A number of actions are being recommended within this and other reports within this suite including ceasing to fund the capital programme from the use of revenue and revenue reserves and utilise more prudential borrow</w:t>
      </w:r>
      <w:r w:rsidR="00F055EA">
        <w:t>ing.  In total this is £61.281m.</w:t>
      </w:r>
      <w:r>
        <w:t xml:space="preserve"> </w:t>
      </w:r>
    </w:p>
    <w:p w:rsidR="006A6ADE" w:rsidRDefault="006A6ADE">
      <w:pPr>
        <w:autoSpaceDE/>
        <w:autoSpaceDN/>
        <w:adjustRightInd/>
        <w:spacing w:after="0"/>
        <w:jc w:val="left"/>
      </w:pPr>
      <w:r>
        <w:br w:type="page"/>
      </w:r>
    </w:p>
    <w:p w:rsidR="00E64FBD" w:rsidRPr="00FD3085" w:rsidRDefault="005C0601" w:rsidP="00F055EA">
      <w:pPr>
        <w:pStyle w:val="ListParagraph"/>
        <w:numPr>
          <w:ilvl w:val="0"/>
          <w:numId w:val="41"/>
        </w:numPr>
        <w:spacing w:after="0"/>
        <w:ind w:left="284" w:hanging="284"/>
        <w:rPr>
          <w:rFonts w:cs="Arial"/>
          <w:b/>
        </w:rPr>
      </w:pPr>
      <w:r w:rsidRPr="00FD3085">
        <w:rPr>
          <w:rFonts w:cs="Arial"/>
          <w:b/>
        </w:rPr>
        <w:lastRenderedPageBreak/>
        <w:t>C</w:t>
      </w:r>
      <w:r w:rsidR="00E64FBD" w:rsidRPr="00FD3085">
        <w:rPr>
          <w:rFonts w:cs="Arial"/>
          <w:b/>
        </w:rPr>
        <w:t>apital Receipts</w:t>
      </w:r>
    </w:p>
    <w:p w:rsidR="00F055EA" w:rsidRPr="00FD3085" w:rsidRDefault="00F055EA" w:rsidP="00F055EA">
      <w:pPr>
        <w:pStyle w:val="ListParagraph"/>
        <w:spacing w:after="0"/>
        <w:ind w:left="284"/>
        <w:rPr>
          <w:rFonts w:cs="Arial"/>
          <w:b/>
        </w:rPr>
      </w:pPr>
    </w:p>
    <w:p w:rsidR="005C0601" w:rsidRPr="00FD3085" w:rsidRDefault="005C0601" w:rsidP="00F055EA">
      <w:pPr>
        <w:autoSpaceDE/>
        <w:autoSpaceDN/>
        <w:adjustRightInd/>
        <w:spacing w:after="0"/>
        <w:rPr>
          <w:rFonts w:cs="Arial"/>
        </w:rPr>
      </w:pPr>
      <w:r w:rsidRPr="00FD3085">
        <w:rPr>
          <w:rFonts w:cs="Arial"/>
        </w:rPr>
        <w:t>In line with new Government legislation taking effect from 1 April 2016, Capital receipts are included in the MTFS Strategy to support revenue, hence capital receipts are excluded from Table 4 below with the exception of those specifically earmarked for a scheme included in the capital programme; and</w:t>
      </w:r>
    </w:p>
    <w:p w:rsidR="00E64FBD" w:rsidRPr="00FD3085" w:rsidRDefault="00E64FBD" w:rsidP="0035497C">
      <w:pPr>
        <w:rPr>
          <w:rFonts w:cs="Arial"/>
        </w:rPr>
      </w:pPr>
    </w:p>
    <w:p w:rsidR="0035497C" w:rsidRPr="00FD3085" w:rsidRDefault="0035497C" w:rsidP="00F055EA">
      <w:pPr>
        <w:spacing w:after="0"/>
        <w:rPr>
          <w:rFonts w:cs="Arial"/>
        </w:rPr>
      </w:pPr>
      <w:r w:rsidRPr="00FD3085">
        <w:rPr>
          <w:rFonts w:cs="Arial"/>
        </w:rPr>
        <w:t>With regard to Capital Receipts there are two anticipated sources:</w:t>
      </w:r>
    </w:p>
    <w:p w:rsidR="00F055EA" w:rsidRPr="00FD3085" w:rsidRDefault="00F055EA" w:rsidP="00F055EA">
      <w:pPr>
        <w:spacing w:after="0"/>
        <w:rPr>
          <w:rFonts w:cs="Arial"/>
        </w:rPr>
      </w:pPr>
    </w:p>
    <w:p w:rsidR="0035497C" w:rsidRPr="00FD3085" w:rsidRDefault="0035497C" w:rsidP="00F055EA">
      <w:pPr>
        <w:numPr>
          <w:ilvl w:val="0"/>
          <w:numId w:val="42"/>
        </w:numPr>
        <w:autoSpaceDE/>
        <w:autoSpaceDN/>
        <w:adjustRightInd/>
        <w:spacing w:after="0"/>
        <w:rPr>
          <w:rFonts w:cs="Arial"/>
        </w:rPr>
      </w:pPr>
      <w:r w:rsidRPr="00FD3085">
        <w:rPr>
          <w:rFonts w:cs="Arial"/>
        </w:rPr>
        <w:t>The Property Portfolio Rationalisation Strategy re Neighbourhood Centres includes expected Capital Receipts from sale of surplus properties totalling circa £11m; and</w:t>
      </w:r>
    </w:p>
    <w:p w:rsidR="0035497C" w:rsidRPr="00FD3085" w:rsidRDefault="0035497C" w:rsidP="00F055EA">
      <w:pPr>
        <w:numPr>
          <w:ilvl w:val="0"/>
          <w:numId w:val="42"/>
        </w:numPr>
        <w:autoSpaceDE/>
        <w:autoSpaceDN/>
        <w:adjustRightInd/>
        <w:spacing w:after="0"/>
        <w:ind w:left="714" w:hanging="357"/>
        <w:rPr>
          <w:rFonts w:cs="Arial"/>
        </w:rPr>
      </w:pPr>
      <w:r w:rsidRPr="00FD3085">
        <w:rPr>
          <w:rFonts w:cs="Arial"/>
        </w:rPr>
        <w:t xml:space="preserve">Provisionally anticipated Capital Receipts from property other than Neighbourhood Centres totalling circa. £11.5m are also expected. </w:t>
      </w:r>
    </w:p>
    <w:p w:rsidR="00F055EA" w:rsidRPr="00FD3085" w:rsidRDefault="00F055EA" w:rsidP="00F055EA">
      <w:pPr>
        <w:autoSpaceDE/>
        <w:autoSpaceDN/>
        <w:adjustRightInd/>
        <w:spacing w:after="0"/>
        <w:ind w:left="714"/>
        <w:rPr>
          <w:rFonts w:cs="Arial"/>
        </w:rPr>
      </w:pPr>
    </w:p>
    <w:p w:rsidR="0035497C" w:rsidRPr="00FD3085" w:rsidRDefault="0035497C" w:rsidP="00F055EA">
      <w:pPr>
        <w:spacing w:after="0"/>
        <w:rPr>
          <w:rFonts w:cs="Arial"/>
        </w:rPr>
      </w:pPr>
      <w:r w:rsidRPr="00FD3085">
        <w:rPr>
          <w:rFonts w:cs="Arial"/>
        </w:rPr>
        <w:t>The estimated figures for Capital Receipts detailed above could change as a result of:</w:t>
      </w:r>
    </w:p>
    <w:p w:rsidR="00F055EA" w:rsidRPr="00FD3085" w:rsidRDefault="00F055EA" w:rsidP="00F055EA">
      <w:pPr>
        <w:spacing w:after="0"/>
        <w:rPr>
          <w:rFonts w:cs="Arial"/>
        </w:rPr>
      </w:pPr>
    </w:p>
    <w:p w:rsidR="0035497C" w:rsidRPr="00FD3085" w:rsidRDefault="0035497C" w:rsidP="0035497C">
      <w:pPr>
        <w:numPr>
          <w:ilvl w:val="0"/>
          <w:numId w:val="44"/>
        </w:numPr>
        <w:autoSpaceDE/>
        <w:autoSpaceDN/>
        <w:adjustRightInd/>
        <w:spacing w:after="0"/>
        <w:jc w:val="left"/>
        <w:rPr>
          <w:rFonts w:cs="Arial"/>
        </w:rPr>
      </w:pPr>
      <w:r w:rsidRPr="00FD3085">
        <w:rPr>
          <w:rFonts w:cs="Arial"/>
        </w:rPr>
        <w:t xml:space="preserve">Open market conditions at the point of sale of individual properties; </w:t>
      </w:r>
    </w:p>
    <w:p w:rsidR="0035497C" w:rsidRPr="00FD3085" w:rsidRDefault="0035497C" w:rsidP="0035497C">
      <w:pPr>
        <w:numPr>
          <w:ilvl w:val="0"/>
          <w:numId w:val="44"/>
        </w:numPr>
        <w:autoSpaceDE/>
        <w:autoSpaceDN/>
        <w:adjustRightInd/>
        <w:spacing w:after="0"/>
        <w:jc w:val="left"/>
        <w:rPr>
          <w:rFonts w:cs="Arial"/>
        </w:rPr>
      </w:pPr>
      <w:r w:rsidRPr="00FD3085">
        <w:rPr>
          <w:rFonts w:cs="Arial"/>
        </w:rPr>
        <w:t>The outcome of the exercise currently ongoing by officers in Asset Management to apply the principles of the Property rationalisation strategy approved by Cabinet on 26</w:t>
      </w:r>
      <w:r w:rsidRPr="00FD3085">
        <w:rPr>
          <w:rFonts w:cs="Arial"/>
          <w:vertAlign w:val="superscript"/>
        </w:rPr>
        <w:t>th</w:t>
      </w:r>
      <w:r w:rsidRPr="00FD3085">
        <w:rPr>
          <w:rFonts w:cs="Arial"/>
        </w:rPr>
        <w:t xml:space="preserve"> November 2015; and</w:t>
      </w:r>
    </w:p>
    <w:p w:rsidR="0035497C" w:rsidRPr="00FD3085" w:rsidRDefault="0035497C" w:rsidP="0035497C">
      <w:pPr>
        <w:numPr>
          <w:ilvl w:val="0"/>
          <w:numId w:val="44"/>
        </w:numPr>
        <w:autoSpaceDE/>
        <w:autoSpaceDN/>
        <w:adjustRightInd/>
        <w:spacing w:after="0"/>
        <w:jc w:val="left"/>
        <w:rPr>
          <w:rFonts w:cs="Arial"/>
        </w:rPr>
      </w:pPr>
      <w:r w:rsidRPr="00FD3085">
        <w:rPr>
          <w:rFonts w:cs="Arial"/>
        </w:rPr>
        <w:t xml:space="preserve">Proposals to transfer surplus properties to third party organisations at a nominal sum as an alternative to sale on the open market. </w:t>
      </w:r>
    </w:p>
    <w:p w:rsidR="0035497C" w:rsidRPr="00FD3085" w:rsidRDefault="0035497C" w:rsidP="0035497C">
      <w:pPr>
        <w:ind w:left="720"/>
        <w:rPr>
          <w:rFonts w:cs="Arial"/>
        </w:rPr>
      </w:pPr>
    </w:p>
    <w:p w:rsidR="005C0601" w:rsidRPr="00FD3085" w:rsidRDefault="005C0601" w:rsidP="00F055EA">
      <w:pPr>
        <w:pStyle w:val="ListParagraph"/>
        <w:numPr>
          <w:ilvl w:val="0"/>
          <w:numId w:val="41"/>
        </w:numPr>
        <w:spacing w:after="0"/>
        <w:ind w:left="284" w:hanging="284"/>
        <w:rPr>
          <w:rFonts w:cs="Arial"/>
          <w:b/>
        </w:rPr>
      </w:pPr>
      <w:r w:rsidRPr="00FD3085">
        <w:rPr>
          <w:rFonts w:cs="Arial"/>
          <w:b/>
        </w:rPr>
        <w:t>Proposed funding</w:t>
      </w:r>
    </w:p>
    <w:p w:rsidR="00F055EA" w:rsidRPr="00FD3085" w:rsidRDefault="00F055EA" w:rsidP="00F055EA">
      <w:pPr>
        <w:pStyle w:val="ListParagraph"/>
        <w:spacing w:after="0"/>
        <w:ind w:left="284"/>
        <w:rPr>
          <w:rFonts w:cs="Arial"/>
          <w:b/>
        </w:rPr>
      </w:pPr>
    </w:p>
    <w:p w:rsidR="0035497C" w:rsidRPr="00FD3085" w:rsidRDefault="0035497C" w:rsidP="0035497C">
      <w:pPr>
        <w:rPr>
          <w:rFonts w:cs="Arial"/>
        </w:rPr>
      </w:pPr>
      <w:r w:rsidRPr="00FD3085">
        <w:rPr>
          <w:rFonts w:cs="Arial"/>
        </w:rPr>
        <w:t>Table 4 below summarises the funding sources for the capital programme up to but not beyond 2018/19:</w:t>
      </w:r>
    </w:p>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F055EA" w:rsidRDefault="00F055EA" w:rsidP="0035497C"/>
    <w:p w:rsidR="0035497C" w:rsidRDefault="0035497C" w:rsidP="0035497C"/>
    <w:p w:rsidR="0035497C" w:rsidRDefault="0035497C" w:rsidP="0035497C">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1275"/>
        <w:gridCol w:w="1197"/>
      </w:tblGrid>
      <w:tr w:rsidR="0035497C" w:rsidTr="00F32527">
        <w:tc>
          <w:tcPr>
            <w:tcW w:w="4219" w:type="dxa"/>
            <w:shd w:val="clear" w:color="auto" w:fill="auto"/>
          </w:tcPr>
          <w:p w:rsidR="0035497C" w:rsidRPr="00D46828" w:rsidRDefault="0035497C" w:rsidP="006A6ADE">
            <w:pPr>
              <w:jc w:val="left"/>
              <w:rPr>
                <w:b/>
              </w:rPr>
            </w:pPr>
            <w:r w:rsidRPr="00D46828">
              <w:rPr>
                <w:b/>
              </w:rPr>
              <w:lastRenderedPageBreak/>
              <w:t>Table 4: Capital Programme Funding</w:t>
            </w:r>
          </w:p>
        </w:tc>
        <w:tc>
          <w:tcPr>
            <w:tcW w:w="1276" w:type="dxa"/>
            <w:shd w:val="clear" w:color="auto" w:fill="auto"/>
          </w:tcPr>
          <w:p w:rsidR="0035497C" w:rsidRPr="008200B6" w:rsidRDefault="0035497C" w:rsidP="00F32527">
            <w:pPr>
              <w:jc w:val="center"/>
              <w:rPr>
                <w:b/>
                <w:sz w:val="22"/>
                <w:szCs w:val="22"/>
              </w:rPr>
            </w:pPr>
            <w:r w:rsidRPr="008200B6">
              <w:rPr>
                <w:b/>
                <w:sz w:val="22"/>
                <w:szCs w:val="22"/>
              </w:rPr>
              <w:t>2016/17 £m</w:t>
            </w:r>
          </w:p>
        </w:tc>
        <w:tc>
          <w:tcPr>
            <w:tcW w:w="1276" w:type="dxa"/>
            <w:shd w:val="clear" w:color="auto" w:fill="auto"/>
          </w:tcPr>
          <w:p w:rsidR="0035497C" w:rsidRPr="008200B6" w:rsidRDefault="0035497C" w:rsidP="00F32527">
            <w:pPr>
              <w:jc w:val="center"/>
              <w:rPr>
                <w:b/>
                <w:sz w:val="22"/>
                <w:szCs w:val="22"/>
              </w:rPr>
            </w:pPr>
            <w:r w:rsidRPr="008200B6">
              <w:rPr>
                <w:b/>
                <w:sz w:val="22"/>
                <w:szCs w:val="22"/>
              </w:rPr>
              <w:t>2017/18 £m</w:t>
            </w:r>
          </w:p>
        </w:tc>
        <w:tc>
          <w:tcPr>
            <w:tcW w:w="1275" w:type="dxa"/>
            <w:shd w:val="clear" w:color="auto" w:fill="auto"/>
          </w:tcPr>
          <w:p w:rsidR="0035497C" w:rsidRPr="008200B6" w:rsidRDefault="0035497C" w:rsidP="00F32527">
            <w:pPr>
              <w:jc w:val="center"/>
              <w:rPr>
                <w:b/>
                <w:sz w:val="22"/>
                <w:szCs w:val="22"/>
              </w:rPr>
            </w:pPr>
            <w:r w:rsidRPr="008200B6">
              <w:rPr>
                <w:b/>
                <w:sz w:val="22"/>
                <w:szCs w:val="22"/>
              </w:rPr>
              <w:t>2018/19 £m</w:t>
            </w:r>
          </w:p>
        </w:tc>
        <w:tc>
          <w:tcPr>
            <w:tcW w:w="1197" w:type="dxa"/>
            <w:shd w:val="clear" w:color="auto" w:fill="auto"/>
          </w:tcPr>
          <w:p w:rsidR="0035497C" w:rsidRDefault="0035497C" w:rsidP="00F055EA">
            <w:pPr>
              <w:spacing w:after="0"/>
              <w:jc w:val="center"/>
              <w:rPr>
                <w:b/>
                <w:sz w:val="22"/>
                <w:szCs w:val="22"/>
              </w:rPr>
            </w:pPr>
            <w:r w:rsidRPr="008200B6">
              <w:rPr>
                <w:b/>
                <w:sz w:val="22"/>
                <w:szCs w:val="22"/>
              </w:rPr>
              <w:t>Total</w:t>
            </w:r>
          </w:p>
          <w:p w:rsidR="0035497C" w:rsidRPr="008200B6" w:rsidRDefault="0035497C" w:rsidP="00F32527">
            <w:pPr>
              <w:jc w:val="center"/>
              <w:rPr>
                <w:b/>
                <w:sz w:val="22"/>
                <w:szCs w:val="22"/>
              </w:rPr>
            </w:pPr>
            <w:r w:rsidRPr="008200B6">
              <w:rPr>
                <w:b/>
                <w:sz w:val="22"/>
                <w:szCs w:val="22"/>
              </w:rPr>
              <w:t xml:space="preserve"> £m</w:t>
            </w:r>
          </w:p>
        </w:tc>
      </w:tr>
      <w:tr w:rsidR="005C0601" w:rsidTr="00F32527">
        <w:tc>
          <w:tcPr>
            <w:tcW w:w="4219" w:type="dxa"/>
            <w:shd w:val="clear" w:color="auto" w:fill="auto"/>
          </w:tcPr>
          <w:p w:rsidR="005C0601" w:rsidRPr="008200B6" w:rsidRDefault="005C0601" w:rsidP="005C0601">
            <w:pPr>
              <w:rPr>
                <w:sz w:val="22"/>
                <w:szCs w:val="22"/>
              </w:rPr>
            </w:pPr>
            <w:r w:rsidRPr="008200B6">
              <w:rPr>
                <w:sz w:val="22"/>
                <w:szCs w:val="22"/>
              </w:rPr>
              <w:t>Capital Programme</w:t>
            </w:r>
            <w:r>
              <w:rPr>
                <w:sz w:val="22"/>
                <w:szCs w:val="22"/>
              </w:rPr>
              <w:t xml:space="preserve"> per table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C0601" w:rsidRPr="000C6E06" w:rsidRDefault="005C0601" w:rsidP="007363B5">
            <w:pPr>
              <w:jc w:val="right"/>
              <w:rPr>
                <w:rFonts w:cs="Arial"/>
                <w:b/>
                <w:bCs/>
              </w:rPr>
            </w:pPr>
            <w:r w:rsidRPr="000C6E06">
              <w:rPr>
                <w:rFonts w:cs="Arial"/>
                <w:b/>
                <w:bCs/>
              </w:rPr>
              <w:t>103.805</w:t>
            </w:r>
          </w:p>
        </w:tc>
        <w:tc>
          <w:tcPr>
            <w:tcW w:w="1276" w:type="dxa"/>
            <w:tcBorders>
              <w:top w:val="single" w:sz="4" w:space="0" w:color="auto"/>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
                <w:bCs/>
              </w:rPr>
            </w:pPr>
            <w:r w:rsidRPr="000C6E06">
              <w:rPr>
                <w:rFonts w:cs="Arial"/>
                <w:b/>
                <w:bCs/>
              </w:rPr>
              <w:t>77.024</w:t>
            </w:r>
          </w:p>
        </w:tc>
        <w:tc>
          <w:tcPr>
            <w:tcW w:w="1275" w:type="dxa"/>
            <w:tcBorders>
              <w:top w:val="single" w:sz="4" w:space="0" w:color="auto"/>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
                <w:bCs/>
              </w:rPr>
            </w:pPr>
            <w:r w:rsidRPr="000C6E06">
              <w:rPr>
                <w:rFonts w:cs="Arial"/>
                <w:b/>
                <w:bCs/>
              </w:rPr>
              <w:t>49.621</w:t>
            </w:r>
          </w:p>
        </w:tc>
        <w:tc>
          <w:tcPr>
            <w:tcW w:w="1197" w:type="dxa"/>
            <w:tcBorders>
              <w:top w:val="single" w:sz="4" w:space="0" w:color="auto"/>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
                <w:bCs/>
              </w:rPr>
            </w:pPr>
            <w:r w:rsidRPr="000C6E06">
              <w:rPr>
                <w:rFonts w:cs="Arial"/>
                <w:b/>
                <w:bCs/>
              </w:rPr>
              <w:t>229.950</w:t>
            </w:r>
          </w:p>
        </w:tc>
      </w:tr>
      <w:tr w:rsidR="0035497C" w:rsidTr="00F32527">
        <w:tc>
          <w:tcPr>
            <w:tcW w:w="4219" w:type="dxa"/>
            <w:shd w:val="clear" w:color="auto" w:fill="auto"/>
          </w:tcPr>
          <w:p w:rsidR="0035497C" w:rsidRPr="008A12FA" w:rsidRDefault="0035497C" w:rsidP="00F32527">
            <w:pPr>
              <w:rPr>
                <w:b/>
                <w:sz w:val="22"/>
                <w:szCs w:val="22"/>
              </w:rPr>
            </w:pPr>
            <w:r w:rsidRPr="008A12FA">
              <w:rPr>
                <w:b/>
                <w:sz w:val="22"/>
                <w:szCs w:val="22"/>
              </w:rPr>
              <w:t>less</w:t>
            </w:r>
          </w:p>
        </w:tc>
        <w:tc>
          <w:tcPr>
            <w:tcW w:w="1276" w:type="dxa"/>
            <w:shd w:val="clear" w:color="auto" w:fill="auto"/>
          </w:tcPr>
          <w:p w:rsidR="0035497C" w:rsidRPr="00A76283" w:rsidRDefault="0035497C" w:rsidP="007363B5">
            <w:pPr>
              <w:jc w:val="right"/>
              <w:rPr>
                <w:rFonts w:cs="Arial"/>
                <w:sz w:val="22"/>
                <w:szCs w:val="22"/>
              </w:rPr>
            </w:pPr>
          </w:p>
        </w:tc>
        <w:tc>
          <w:tcPr>
            <w:tcW w:w="1276" w:type="dxa"/>
            <w:shd w:val="clear" w:color="auto" w:fill="auto"/>
          </w:tcPr>
          <w:p w:rsidR="0035497C" w:rsidRPr="00A76283" w:rsidRDefault="0035497C" w:rsidP="007363B5">
            <w:pPr>
              <w:jc w:val="right"/>
              <w:rPr>
                <w:rFonts w:cs="Arial"/>
                <w:sz w:val="22"/>
                <w:szCs w:val="22"/>
              </w:rPr>
            </w:pPr>
          </w:p>
        </w:tc>
        <w:tc>
          <w:tcPr>
            <w:tcW w:w="1275" w:type="dxa"/>
            <w:shd w:val="clear" w:color="auto" w:fill="auto"/>
          </w:tcPr>
          <w:p w:rsidR="0035497C" w:rsidRPr="00A76283" w:rsidRDefault="0035497C" w:rsidP="007363B5">
            <w:pPr>
              <w:jc w:val="right"/>
              <w:rPr>
                <w:rFonts w:cs="Arial"/>
                <w:sz w:val="22"/>
                <w:szCs w:val="22"/>
              </w:rPr>
            </w:pPr>
          </w:p>
        </w:tc>
        <w:tc>
          <w:tcPr>
            <w:tcW w:w="1197" w:type="dxa"/>
            <w:shd w:val="clear" w:color="auto" w:fill="auto"/>
          </w:tcPr>
          <w:p w:rsidR="0035497C" w:rsidRPr="00A76283" w:rsidRDefault="0035497C" w:rsidP="007363B5">
            <w:pPr>
              <w:jc w:val="right"/>
              <w:rPr>
                <w:rFonts w:cs="Arial"/>
                <w:sz w:val="22"/>
                <w:szCs w:val="22"/>
              </w:rPr>
            </w:pPr>
          </w:p>
        </w:tc>
      </w:tr>
      <w:tr w:rsidR="0035497C" w:rsidTr="00F32527">
        <w:tc>
          <w:tcPr>
            <w:tcW w:w="4219" w:type="dxa"/>
            <w:shd w:val="clear" w:color="auto" w:fill="auto"/>
          </w:tcPr>
          <w:p w:rsidR="0035497C" w:rsidRPr="008200B6" w:rsidRDefault="0035497C" w:rsidP="00F32527">
            <w:pPr>
              <w:rPr>
                <w:sz w:val="22"/>
                <w:szCs w:val="22"/>
              </w:rPr>
            </w:pPr>
            <w:r>
              <w:rPr>
                <w:sz w:val="22"/>
                <w:szCs w:val="22"/>
              </w:rPr>
              <w:t>Capital receipts earmarked for School Playing Fields programme</w:t>
            </w:r>
          </w:p>
        </w:tc>
        <w:tc>
          <w:tcPr>
            <w:tcW w:w="1276" w:type="dxa"/>
            <w:shd w:val="clear" w:color="auto" w:fill="auto"/>
          </w:tcPr>
          <w:p w:rsidR="0035497C" w:rsidRPr="00A76283" w:rsidRDefault="0035497C" w:rsidP="007363B5">
            <w:pPr>
              <w:jc w:val="right"/>
              <w:rPr>
                <w:rFonts w:cs="Arial"/>
                <w:sz w:val="22"/>
                <w:szCs w:val="22"/>
              </w:rPr>
            </w:pPr>
            <w:r w:rsidRPr="00A76283">
              <w:rPr>
                <w:rFonts w:cs="Arial"/>
                <w:sz w:val="22"/>
                <w:szCs w:val="22"/>
              </w:rPr>
              <w:t>(1.036)</w:t>
            </w:r>
          </w:p>
        </w:tc>
        <w:tc>
          <w:tcPr>
            <w:tcW w:w="1276" w:type="dxa"/>
            <w:shd w:val="clear" w:color="auto" w:fill="auto"/>
          </w:tcPr>
          <w:p w:rsidR="0035497C" w:rsidRPr="00A76283" w:rsidRDefault="0035497C" w:rsidP="007363B5">
            <w:pPr>
              <w:jc w:val="right"/>
              <w:rPr>
                <w:rFonts w:cs="Arial"/>
                <w:sz w:val="22"/>
                <w:szCs w:val="22"/>
              </w:rPr>
            </w:pPr>
          </w:p>
        </w:tc>
        <w:tc>
          <w:tcPr>
            <w:tcW w:w="1275" w:type="dxa"/>
            <w:shd w:val="clear" w:color="auto" w:fill="auto"/>
          </w:tcPr>
          <w:p w:rsidR="0035497C" w:rsidRPr="00A76283" w:rsidRDefault="0035497C" w:rsidP="007363B5">
            <w:pPr>
              <w:jc w:val="right"/>
              <w:rPr>
                <w:rFonts w:cs="Arial"/>
                <w:sz w:val="22"/>
                <w:szCs w:val="22"/>
              </w:rPr>
            </w:pPr>
          </w:p>
        </w:tc>
        <w:tc>
          <w:tcPr>
            <w:tcW w:w="1197" w:type="dxa"/>
            <w:shd w:val="clear" w:color="auto" w:fill="auto"/>
          </w:tcPr>
          <w:p w:rsidR="0035497C" w:rsidRPr="00A76283" w:rsidRDefault="0035497C" w:rsidP="007363B5">
            <w:pPr>
              <w:jc w:val="right"/>
              <w:rPr>
                <w:rFonts w:cs="Arial"/>
                <w:sz w:val="22"/>
                <w:szCs w:val="22"/>
              </w:rPr>
            </w:pPr>
            <w:r w:rsidRPr="00A76283">
              <w:rPr>
                <w:rFonts w:cs="Arial"/>
                <w:sz w:val="22"/>
                <w:szCs w:val="22"/>
              </w:rPr>
              <w:t>(1.036)</w:t>
            </w:r>
          </w:p>
        </w:tc>
      </w:tr>
      <w:tr w:rsidR="0035497C" w:rsidTr="00F32527">
        <w:tc>
          <w:tcPr>
            <w:tcW w:w="4219"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EC5B54" w:rsidRDefault="0035497C" w:rsidP="00F32527">
            <w:pPr>
              <w:rPr>
                <w:rFonts w:cs="Arial"/>
                <w:b/>
                <w:bCs/>
                <w:sz w:val="22"/>
                <w:szCs w:val="22"/>
              </w:rPr>
            </w:pPr>
            <w:r w:rsidRPr="00EC5B54">
              <w:rPr>
                <w:rFonts w:cs="Arial"/>
                <w:b/>
                <w:bCs/>
                <w:sz w:val="22"/>
                <w:szCs w:val="22"/>
              </w:rPr>
              <w:t>Single Capital Pot Grants confirmed</w:t>
            </w:r>
            <w:r>
              <w:rPr>
                <w:rFonts w:cs="Arial"/>
                <w:b/>
                <w:bCs/>
                <w:sz w:val="22"/>
                <w:szCs w:val="22"/>
              </w:rPr>
              <w:t xml:space="preserve"> by DfE and currently on DfE website:</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p>
        </w:tc>
      </w:tr>
      <w:tr w:rsidR="0035497C" w:rsidTr="00F32527">
        <w:tc>
          <w:tcPr>
            <w:tcW w:w="4219"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EC5B54" w:rsidRDefault="0035497C" w:rsidP="00F32527">
            <w:pPr>
              <w:rPr>
                <w:rFonts w:cs="Arial"/>
                <w:b/>
                <w:bCs/>
                <w:sz w:val="22"/>
                <w:szCs w:val="22"/>
              </w:rPr>
            </w:pPr>
            <w:r w:rsidRPr="00EC5B54">
              <w:rPr>
                <w:rFonts w:cs="Arial"/>
                <w:bCs/>
                <w:sz w:val="22"/>
                <w:szCs w:val="22"/>
              </w:rPr>
              <w:t>SCP Schools  Basic Need</w:t>
            </w:r>
            <w:r w:rsidRPr="00EC5B54">
              <w:rPr>
                <w:rFonts w:cs="Arial"/>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r w:rsidRPr="00A76283">
              <w:rPr>
                <w:rFonts w:cs="Arial"/>
                <w:bCs/>
                <w:sz w:val="22"/>
                <w:szCs w:val="22"/>
              </w:rPr>
              <w:t>(8.891)</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r w:rsidRPr="00A76283">
              <w:rPr>
                <w:rFonts w:cs="Arial"/>
                <w:bCs/>
                <w:sz w:val="22"/>
                <w:szCs w:val="22"/>
              </w:rPr>
              <w:t>(14.484)</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r w:rsidRPr="00A76283">
              <w:rPr>
                <w:rFonts w:cs="Arial"/>
                <w:bCs/>
                <w:sz w:val="22"/>
                <w:szCs w:val="22"/>
              </w:rPr>
              <w:t>(14.522)</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A76283" w:rsidRDefault="0035497C" w:rsidP="007363B5">
            <w:pPr>
              <w:jc w:val="right"/>
              <w:rPr>
                <w:rFonts w:cs="Arial"/>
                <w:bCs/>
                <w:sz w:val="22"/>
                <w:szCs w:val="22"/>
              </w:rPr>
            </w:pPr>
            <w:r w:rsidRPr="00A76283">
              <w:rPr>
                <w:rFonts w:cs="Arial"/>
                <w:bCs/>
                <w:sz w:val="22"/>
                <w:szCs w:val="22"/>
              </w:rPr>
              <w:t>(37.897)</w:t>
            </w:r>
          </w:p>
        </w:tc>
      </w:tr>
      <w:tr w:rsidR="0035497C" w:rsidTr="00F32527">
        <w:tc>
          <w:tcPr>
            <w:tcW w:w="4219"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9B5AD2" w:rsidRDefault="0035497C" w:rsidP="00F32527">
            <w:pPr>
              <w:rPr>
                <w:rFonts w:cs="Arial"/>
                <w:bCs/>
                <w:sz w:val="22"/>
                <w:szCs w:val="22"/>
              </w:rPr>
            </w:pPr>
            <w:r w:rsidRPr="009B5AD2">
              <w:rPr>
                <w:rFonts w:cs="Arial"/>
                <w:bCs/>
                <w:sz w:val="22"/>
                <w:szCs w:val="22"/>
              </w:rPr>
              <w:t>SCP Highway maintenance -may be more per Band 2/3 but leave confirmed amount in at present</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Pr>
                <w:rFonts w:cs="Arial"/>
                <w:bCs/>
                <w:sz w:val="22"/>
                <w:szCs w:val="22"/>
              </w:rPr>
              <w:t>(</w:t>
            </w:r>
            <w:r w:rsidRPr="009B5AD2">
              <w:rPr>
                <w:rFonts w:cs="Arial"/>
                <w:bCs/>
                <w:sz w:val="22"/>
                <w:szCs w:val="22"/>
              </w:rPr>
              <w:t>20.514</w:t>
            </w:r>
            <w:r>
              <w:rPr>
                <w:rFonts w:cs="Arial"/>
                <w:bCs/>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Pr>
                <w:rFonts w:cs="Arial"/>
                <w:bCs/>
                <w:sz w:val="22"/>
                <w:szCs w:val="22"/>
              </w:rPr>
              <w:t>(</w:t>
            </w:r>
            <w:r w:rsidRPr="009B5AD2">
              <w:rPr>
                <w:rFonts w:cs="Arial"/>
                <w:bCs/>
                <w:sz w:val="22"/>
                <w:szCs w:val="22"/>
              </w:rPr>
              <w:t>18.567</w:t>
            </w:r>
            <w:r>
              <w:rPr>
                <w:rFonts w:cs="Arial"/>
                <w:bCs/>
                <w:sz w:val="22"/>
                <w:szCs w:val="22"/>
              </w:rPr>
              <w:t>)</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sidRPr="009B5AD2">
              <w:rPr>
                <w:rFonts w:cs="Arial"/>
                <w:bCs/>
                <w:sz w:val="22"/>
                <w:szCs w:val="22"/>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Pr>
                <w:rFonts w:cs="Arial"/>
                <w:bCs/>
                <w:sz w:val="22"/>
                <w:szCs w:val="22"/>
              </w:rPr>
              <w:t>(</w:t>
            </w:r>
            <w:r w:rsidRPr="009B5AD2">
              <w:rPr>
                <w:rFonts w:cs="Arial"/>
                <w:bCs/>
                <w:sz w:val="22"/>
                <w:szCs w:val="22"/>
              </w:rPr>
              <w:t>39.081</w:t>
            </w:r>
            <w:r>
              <w:rPr>
                <w:rFonts w:cs="Arial"/>
                <w:bCs/>
                <w:sz w:val="22"/>
                <w:szCs w:val="22"/>
              </w:rPr>
              <w:t>)</w:t>
            </w:r>
          </w:p>
        </w:tc>
      </w:tr>
      <w:tr w:rsidR="0035497C"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9B5AD2" w:rsidRDefault="0035497C" w:rsidP="00F32527">
            <w:pPr>
              <w:rPr>
                <w:rFonts w:cs="Arial"/>
                <w:bCs/>
                <w:sz w:val="22"/>
                <w:szCs w:val="22"/>
              </w:rPr>
            </w:pPr>
            <w:r w:rsidRPr="009B5AD2">
              <w:rPr>
                <w:rFonts w:cs="Arial"/>
                <w:bCs/>
                <w:sz w:val="22"/>
                <w:szCs w:val="22"/>
              </w:rPr>
              <w:t xml:space="preserve">SCP Transport (LTP) </w:t>
            </w:r>
          </w:p>
        </w:tc>
        <w:tc>
          <w:tcPr>
            <w:tcW w:w="1276" w:type="dxa"/>
            <w:tcBorders>
              <w:top w:val="nil"/>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Pr>
                <w:rFonts w:cs="Arial"/>
                <w:bCs/>
                <w:sz w:val="22"/>
                <w:szCs w:val="22"/>
              </w:rPr>
              <w:t>(</w:t>
            </w:r>
            <w:r w:rsidRPr="009B5AD2">
              <w:rPr>
                <w:rFonts w:cs="Arial"/>
                <w:bCs/>
                <w:sz w:val="22"/>
                <w:szCs w:val="22"/>
              </w:rPr>
              <w:t>6.054</w:t>
            </w:r>
            <w:r>
              <w:rPr>
                <w:rFonts w:cs="Arial"/>
                <w:bCs/>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Pr>
                <w:rFonts w:cs="Arial"/>
                <w:bCs/>
                <w:sz w:val="22"/>
                <w:szCs w:val="22"/>
              </w:rPr>
              <w:t>(</w:t>
            </w:r>
            <w:r w:rsidRPr="009B5AD2">
              <w:rPr>
                <w:rFonts w:cs="Arial"/>
                <w:bCs/>
                <w:sz w:val="22"/>
                <w:szCs w:val="22"/>
              </w:rPr>
              <w:t>6.054</w:t>
            </w:r>
            <w:r>
              <w:rPr>
                <w:rFonts w:cs="Arial"/>
                <w:bCs/>
                <w:sz w:val="22"/>
                <w:szCs w:val="22"/>
              </w:rPr>
              <w:t>)</w:t>
            </w:r>
          </w:p>
        </w:tc>
        <w:tc>
          <w:tcPr>
            <w:tcW w:w="1275" w:type="dxa"/>
            <w:tcBorders>
              <w:top w:val="nil"/>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sidRPr="009B5AD2">
              <w:rPr>
                <w:rFonts w:cs="Arial"/>
                <w:bCs/>
                <w:sz w:val="22"/>
                <w:szCs w:val="22"/>
              </w:rPr>
              <w:t> </w:t>
            </w:r>
          </w:p>
        </w:tc>
        <w:tc>
          <w:tcPr>
            <w:tcW w:w="1197" w:type="dxa"/>
            <w:tcBorders>
              <w:top w:val="nil"/>
              <w:left w:val="nil"/>
              <w:bottom w:val="single" w:sz="4" w:space="0" w:color="auto"/>
              <w:right w:val="single" w:sz="4" w:space="0" w:color="auto"/>
            </w:tcBorders>
            <w:shd w:val="clear" w:color="auto" w:fill="auto"/>
            <w:vAlign w:val="bottom"/>
          </w:tcPr>
          <w:p w:rsidR="0035497C" w:rsidRPr="009B5AD2" w:rsidRDefault="0035497C" w:rsidP="007363B5">
            <w:pPr>
              <w:jc w:val="right"/>
              <w:rPr>
                <w:rFonts w:cs="Arial"/>
                <w:bCs/>
                <w:sz w:val="22"/>
                <w:szCs w:val="22"/>
              </w:rPr>
            </w:pPr>
            <w:r>
              <w:rPr>
                <w:rFonts w:cs="Arial"/>
                <w:bCs/>
                <w:sz w:val="22"/>
                <w:szCs w:val="22"/>
              </w:rPr>
              <w:t>(</w:t>
            </w:r>
            <w:r w:rsidRPr="009B5AD2">
              <w:rPr>
                <w:rFonts w:cs="Arial"/>
                <w:bCs/>
                <w:sz w:val="22"/>
                <w:szCs w:val="22"/>
              </w:rPr>
              <w:t>12.108</w:t>
            </w:r>
            <w:r>
              <w:rPr>
                <w:rFonts w:cs="Arial"/>
                <w:bCs/>
                <w:sz w:val="22"/>
                <w:szCs w:val="22"/>
              </w:rPr>
              <w:t>)</w:t>
            </w:r>
          </w:p>
        </w:tc>
      </w:tr>
      <w:tr w:rsidR="0035497C" w:rsidTr="00F32527">
        <w:tc>
          <w:tcPr>
            <w:tcW w:w="4219" w:type="dxa"/>
            <w:shd w:val="clear" w:color="auto" w:fill="auto"/>
          </w:tcPr>
          <w:p w:rsidR="0035497C" w:rsidRPr="008200B6" w:rsidRDefault="0035497C" w:rsidP="00F32527">
            <w:pPr>
              <w:rPr>
                <w:sz w:val="22"/>
                <w:szCs w:val="22"/>
              </w:rPr>
            </w:pPr>
            <w:r w:rsidRPr="00EC5B54">
              <w:rPr>
                <w:rFonts w:cs="Arial"/>
                <w:b/>
                <w:bCs/>
                <w:sz w:val="22"/>
                <w:szCs w:val="22"/>
              </w:rPr>
              <w:t xml:space="preserve">Single Capital Pot Grants </w:t>
            </w:r>
            <w:r>
              <w:rPr>
                <w:rFonts w:cs="Arial"/>
                <w:b/>
                <w:bCs/>
                <w:sz w:val="22"/>
                <w:szCs w:val="22"/>
              </w:rPr>
              <w:t xml:space="preserve">indicative: </w:t>
            </w:r>
          </w:p>
        </w:tc>
        <w:tc>
          <w:tcPr>
            <w:tcW w:w="1276" w:type="dxa"/>
            <w:shd w:val="clear" w:color="auto" w:fill="auto"/>
          </w:tcPr>
          <w:p w:rsidR="0035497C" w:rsidRPr="00A76283" w:rsidRDefault="0035497C" w:rsidP="007363B5">
            <w:pPr>
              <w:jc w:val="right"/>
              <w:rPr>
                <w:rFonts w:cs="Arial"/>
                <w:sz w:val="22"/>
                <w:szCs w:val="22"/>
              </w:rPr>
            </w:pPr>
          </w:p>
        </w:tc>
        <w:tc>
          <w:tcPr>
            <w:tcW w:w="1276" w:type="dxa"/>
            <w:shd w:val="clear" w:color="auto" w:fill="auto"/>
          </w:tcPr>
          <w:p w:rsidR="0035497C" w:rsidRPr="00A76283" w:rsidRDefault="0035497C" w:rsidP="007363B5">
            <w:pPr>
              <w:jc w:val="right"/>
              <w:rPr>
                <w:rFonts w:cs="Arial"/>
                <w:sz w:val="22"/>
                <w:szCs w:val="22"/>
              </w:rPr>
            </w:pPr>
          </w:p>
        </w:tc>
        <w:tc>
          <w:tcPr>
            <w:tcW w:w="1275" w:type="dxa"/>
            <w:shd w:val="clear" w:color="auto" w:fill="auto"/>
          </w:tcPr>
          <w:p w:rsidR="0035497C" w:rsidRPr="00A76283" w:rsidRDefault="0035497C" w:rsidP="007363B5">
            <w:pPr>
              <w:jc w:val="right"/>
              <w:rPr>
                <w:rFonts w:cs="Arial"/>
                <w:sz w:val="22"/>
                <w:szCs w:val="22"/>
              </w:rPr>
            </w:pPr>
          </w:p>
        </w:tc>
        <w:tc>
          <w:tcPr>
            <w:tcW w:w="1197" w:type="dxa"/>
            <w:shd w:val="clear" w:color="auto" w:fill="auto"/>
          </w:tcPr>
          <w:p w:rsidR="0035497C" w:rsidRPr="00A76283" w:rsidRDefault="0035497C" w:rsidP="007363B5">
            <w:pPr>
              <w:jc w:val="right"/>
              <w:rPr>
                <w:rFonts w:cs="Arial"/>
                <w:sz w:val="22"/>
                <w:szCs w:val="22"/>
              </w:rPr>
            </w:pPr>
          </w:p>
        </w:tc>
      </w:tr>
      <w:tr w:rsidR="0035497C" w:rsidTr="00F32527">
        <w:tc>
          <w:tcPr>
            <w:tcW w:w="4219"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EC5B54" w:rsidRDefault="0035497C" w:rsidP="00F32527">
            <w:pPr>
              <w:rPr>
                <w:rFonts w:cs="Arial"/>
                <w:bCs/>
                <w:sz w:val="22"/>
                <w:szCs w:val="22"/>
              </w:rPr>
            </w:pPr>
            <w:r w:rsidRPr="00EC5B54">
              <w:rPr>
                <w:rFonts w:cs="Arial"/>
                <w:bCs/>
                <w:sz w:val="22"/>
                <w:szCs w:val="22"/>
              </w:rPr>
              <w:t>Schools  Condition</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11.319</w:t>
            </w:r>
            <w:r>
              <w:rPr>
                <w:rFonts w:cs="Arial"/>
                <w:bCs/>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11.319</w:t>
            </w:r>
            <w:r>
              <w:rPr>
                <w:rFonts w:cs="Arial"/>
                <w:bCs/>
                <w:sz w:val="22"/>
                <w:szCs w:val="22"/>
              </w:rPr>
              <w:t>)</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sidRPr="00EC5B54">
              <w:rPr>
                <w:rFonts w:cs="Arial"/>
                <w:bCs/>
                <w:sz w:val="22"/>
                <w:szCs w:val="22"/>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22.638</w:t>
            </w:r>
            <w:r>
              <w:rPr>
                <w:rFonts w:cs="Arial"/>
                <w:bCs/>
                <w:sz w:val="22"/>
                <w:szCs w:val="22"/>
              </w:rPr>
              <w:t>)</w:t>
            </w:r>
          </w:p>
        </w:tc>
      </w:tr>
      <w:tr w:rsidR="0035497C"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EC5B54" w:rsidRDefault="0035497C" w:rsidP="00F32527">
            <w:pPr>
              <w:rPr>
                <w:rFonts w:cs="Arial"/>
                <w:bCs/>
                <w:sz w:val="22"/>
                <w:szCs w:val="22"/>
              </w:rPr>
            </w:pPr>
            <w:r w:rsidRPr="00EC5B54">
              <w:rPr>
                <w:rFonts w:cs="Arial"/>
                <w:bCs/>
                <w:sz w:val="22"/>
                <w:szCs w:val="22"/>
              </w:rPr>
              <w:t xml:space="preserve"> Highway maintenance -may be more per Band 2/3 but leave confirmed amount in at present</w:t>
            </w:r>
          </w:p>
        </w:tc>
        <w:tc>
          <w:tcPr>
            <w:tcW w:w="1276"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sidRPr="00EC5B54">
              <w:rPr>
                <w:rFonts w:cs="Arial"/>
                <w:bCs/>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sidRPr="00EC5B54">
              <w:rPr>
                <w:rFonts w:cs="Arial"/>
                <w:bCs/>
                <w:sz w:val="22"/>
                <w:szCs w:val="22"/>
              </w:rPr>
              <w:t> </w:t>
            </w:r>
          </w:p>
        </w:tc>
        <w:tc>
          <w:tcPr>
            <w:tcW w:w="1275"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18.567</w:t>
            </w:r>
            <w:r>
              <w:rPr>
                <w:rFonts w:cs="Arial"/>
                <w:bCs/>
                <w:sz w:val="22"/>
                <w:szCs w:val="22"/>
              </w:rPr>
              <w:t>)</w:t>
            </w:r>
          </w:p>
        </w:tc>
        <w:tc>
          <w:tcPr>
            <w:tcW w:w="1197"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18.567</w:t>
            </w:r>
            <w:r>
              <w:rPr>
                <w:rFonts w:cs="Arial"/>
                <w:bCs/>
                <w:sz w:val="22"/>
                <w:szCs w:val="22"/>
              </w:rPr>
              <w:t>)</w:t>
            </w:r>
          </w:p>
        </w:tc>
      </w:tr>
      <w:tr w:rsidR="0035497C"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EC5B54" w:rsidRDefault="0035497C" w:rsidP="00F32527">
            <w:pPr>
              <w:rPr>
                <w:rFonts w:cs="Arial"/>
                <w:bCs/>
                <w:sz w:val="22"/>
                <w:szCs w:val="22"/>
              </w:rPr>
            </w:pPr>
            <w:r w:rsidRPr="00EC5B54">
              <w:rPr>
                <w:rFonts w:cs="Arial"/>
                <w:bCs/>
                <w:sz w:val="22"/>
                <w:szCs w:val="22"/>
              </w:rPr>
              <w:t xml:space="preserve">Transport (LTP) </w:t>
            </w:r>
          </w:p>
        </w:tc>
        <w:tc>
          <w:tcPr>
            <w:tcW w:w="1276"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sidRPr="00EC5B54">
              <w:rPr>
                <w:rFonts w:cs="Arial"/>
                <w:bCs/>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sidRPr="00EC5B54">
              <w:rPr>
                <w:rFonts w:cs="Arial"/>
                <w:bCs/>
                <w:sz w:val="22"/>
                <w:szCs w:val="22"/>
              </w:rPr>
              <w:t> </w:t>
            </w:r>
          </w:p>
        </w:tc>
        <w:tc>
          <w:tcPr>
            <w:tcW w:w="1275"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6.054</w:t>
            </w:r>
            <w:r>
              <w:rPr>
                <w:rFonts w:cs="Arial"/>
                <w:bCs/>
                <w:sz w:val="22"/>
                <w:szCs w:val="22"/>
              </w:rPr>
              <w:t>)</w:t>
            </w:r>
          </w:p>
        </w:tc>
        <w:tc>
          <w:tcPr>
            <w:tcW w:w="1197" w:type="dxa"/>
            <w:tcBorders>
              <w:top w:val="nil"/>
              <w:left w:val="nil"/>
              <w:bottom w:val="single" w:sz="4" w:space="0" w:color="auto"/>
              <w:right w:val="single" w:sz="4" w:space="0" w:color="auto"/>
            </w:tcBorders>
            <w:shd w:val="clear" w:color="auto" w:fill="auto"/>
            <w:vAlign w:val="bottom"/>
          </w:tcPr>
          <w:p w:rsidR="0035497C" w:rsidRPr="00EC5B54" w:rsidRDefault="0035497C" w:rsidP="007363B5">
            <w:pPr>
              <w:jc w:val="right"/>
              <w:rPr>
                <w:rFonts w:cs="Arial"/>
                <w:bCs/>
                <w:sz w:val="22"/>
                <w:szCs w:val="22"/>
              </w:rPr>
            </w:pPr>
            <w:r>
              <w:rPr>
                <w:rFonts w:cs="Arial"/>
                <w:bCs/>
                <w:sz w:val="22"/>
                <w:szCs w:val="22"/>
              </w:rPr>
              <w:t>(</w:t>
            </w:r>
            <w:r w:rsidRPr="00EC5B54">
              <w:rPr>
                <w:rFonts w:cs="Arial"/>
                <w:bCs/>
                <w:sz w:val="22"/>
                <w:szCs w:val="22"/>
              </w:rPr>
              <w:t>6.054</w:t>
            </w:r>
            <w:r>
              <w:rPr>
                <w:rFonts w:cs="Arial"/>
                <w:bCs/>
                <w:sz w:val="22"/>
                <w:szCs w:val="22"/>
              </w:rPr>
              <w:t>)</w:t>
            </w:r>
          </w:p>
        </w:tc>
      </w:tr>
      <w:tr w:rsidR="0035497C" w:rsidTr="00F32527">
        <w:tc>
          <w:tcPr>
            <w:tcW w:w="4219"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0976F3" w:rsidRDefault="0035497C" w:rsidP="00F32527">
            <w:pPr>
              <w:rPr>
                <w:rFonts w:cs="Arial"/>
                <w:b/>
                <w:bCs/>
                <w:sz w:val="22"/>
                <w:szCs w:val="22"/>
              </w:rPr>
            </w:pPr>
            <w:r w:rsidRPr="000976F3">
              <w:rPr>
                <w:rFonts w:cs="Arial"/>
                <w:b/>
                <w:bCs/>
                <w:sz w:val="22"/>
                <w:szCs w:val="22"/>
              </w:rPr>
              <w:t>Other Grants and Contributions:</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sidRPr="000976F3">
              <w:rPr>
                <w:rFonts w:cs="Arial"/>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sidRPr="000976F3">
              <w:rPr>
                <w:rFonts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sidRPr="000976F3">
              <w:rPr>
                <w:rFonts w:cs="Arial"/>
                <w:sz w:val="22"/>
                <w:szCs w:val="22"/>
              </w:rPr>
              <w:t> </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sidRPr="000976F3">
              <w:rPr>
                <w:rFonts w:cs="Arial"/>
                <w:sz w:val="22"/>
                <w:szCs w:val="22"/>
              </w:rPr>
              <w:t> </w:t>
            </w:r>
          </w:p>
        </w:tc>
      </w:tr>
      <w:tr w:rsidR="0035497C" w:rsidTr="00F32527">
        <w:trPr>
          <w:trHeight w:val="299"/>
        </w:trPr>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0976F3" w:rsidRDefault="0035497C" w:rsidP="00F32527">
            <w:pPr>
              <w:rPr>
                <w:rFonts w:cs="Arial"/>
                <w:sz w:val="22"/>
                <w:szCs w:val="22"/>
              </w:rPr>
            </w:pPr>
            <w:r w:rsidRPr="000976F3">
              <w:rPr>
                <w:rFonts w:cs="Arial"/>
                <w:sz w:val="22"/>
                <w:szCs w:val="22"/>
              </w:rPr>
              <w:t>allocated in Feb 15 prog</w:t>
            </w:r>
            <w:r>
              <w:rPr>
                <w:rFonts w:cs="Arial"/>
                <w:sz w:val="22"/>
                <w:szCs w:val="22"/>
              </w:rPr>
              <w:t>ramme</w:t>
            </w:r>
            <w:r w:rsidRPr="000976F3">
              <w:rPr>
                <w:rFonts w:cs="Arial"/>
                <w:sz w:val="22"/>
                <w:szCs w:val="22"/>
              </w:rPr>
              <w:t xml:space="preserve"> </w:t>
            </w:r>
          </w:p>
        </w:tc>
        <w:tc>
          <w:tcPr>
            <w:tcW w:w="1276"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Pr>
                <w:rFonts w:cs="Arial"/>
                <w:sz w:val="22"/>
                <w:szCs w:val="22"/>
              </w:rPr>
              <w:t>(</w:t>
            </w:r>
            <w:r w:rsidRPr="000976F3">
              <w:rPr>
                <w:rFonts w:cs="Arial"/>
                <w:sz w:val="22"/>
                <w:szCs w:val="22"/>
              </w:rPr>
              <w:t>0.362</w:t>
            </w:r>
            <w:r>
              <w:rPr>
                <w:rFonts w:cs="Arial"/>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sidRPr="000976F3">
              <w:rPr>
                <w:rFonts w:cs="Arial"/>
                <w:sz w:val="22"/>
                <w:szCs w:val="22"/>
              </w:rPr>
              <w:t>0.000</w:t>
            </w:r>
          </w:p>
        </w:tc>
        <w:tc>
          <w:tcPr>
            <w:tcW w:w="1275"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sidRPr="000976F3">
              <w:rPr>
                <w:rFonts w:cs="Arial"/>
                <w:sz w:val="22"/>
                <w:szCs w:val="22"/>
              </w:rPr>
              <w:t>0.000</w:t>
            </w:r>
          </w:p>
        </w:tc>
        <w:tc>
          <w:tcPr>
            <w:tcW w:w="1197"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sz w:val="22"/>
                <w:szCs w:val="22"/>
              </w:rPr>
            </w:pPr>
            <w:r>
              <w:rPr>
                <w:rFonts w:cs="Arial"/>
                <w:sz w:val="22"/>
                <w:szCs w:val="22"/>
              </w:rPr>
              <w:t>(</w:t>
            </w:r>
            <w:r w:rsidRPr="000976F3">
              <w:rPr>
                <w:rFonts w:cs="Arial"/>
                <w:sz w:val="22"/>
                <w:szCs w:val="22"/>
              </w:rPr>
              <w:t>0.362</w:t>
            </w:r>
            <w:r>
              <w:rPr>
                <w:rFonts w:cs="Arial"/>
                <w:sz w:val="22"/>
                <w:szCs w:val="22"/>
              </w:rPr>
              <w:t>)</w:t>
            </w:r>
          </w:p>
        </w:tc>
      </w:tr>
      <w:tr w:rsidR="0035497C"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0976F3" w:rsidRDefault="0035497C" w:rsidP="00F32527">
            <w:pPr>
              <w:rPr>
                <w:rFonts w:cs="Arial"/>
                <w:bCs/>
                <w:sz w:val="22"/>
                <w:szCs w:val="22"/>
              </w:rPr>
            </w:pPr>
            <w:r>
              <w:rPr>
                <w:rFonts w:cs="Arial"/>
                <w:bCs/>
                <w:sz w:val="22"/>
                <w:szCs w:val="22"/>
              </w:rPr>
              <w:t>DfT</w:t>
            </w:r>
            <w:r w:rsidRPr="000976F3">
              <w:rPr>
                <w:rFonts w:cs="Arial"/>
                <w:bCs/>
                <w:sz w:val="22"/>
                <w:szCs w:val="22"/>
              </w:rPr>
              <w:t xml:space="preserve"> challenge fund Street Lighting</w:t>
            </w:r>
          </w:p>
        </w:tc>
        <w:tc>
          <w:tcPr>
            <w:tcW w:w="1276"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Pr>
                <w:rFonts w:cs="Arial"/>
                <w:bCs/>
                <w:sz w:val="22"/>
                <w:szCs w:val="22"/>
              </w:rPr>
              <w:t>(</w:t>
            </w:r>
            <w:r w:rsidRPr="000976F3">
              <w:rPr>
                <w:rFonts w:cs="Arial"/>
                <w:bCs/>
                <w:sz w:val="22"/>
                <w:szCs w:val="22"/>
              </w:rPr>
              <w:t>5.000</w:t>
            </w:r>
            <w:r>
              <w:rPr>
                <w:rFonts w:cs="Arial"/>
                <w:bCs/>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Pr>
                <w:rFonts w:cs="Arial"/>
                <w:bCs/>
                <w:sz w:val="22"/>
                <w:szCs w:val="22"/>
              </w:rPr>
              <w:t>(</w:t>
            </w:r>
            <w:r w:rsidRPr="000976F3">
              <w:rPr>
                <w:rFonts w:cs="Arial"/>
                <w:bCs/>
                <w:sz w:val="22"/>
                <w:szCs w:val="22"/>
              </w:rPr>
              <w:t>4.800</w:t>
            </w:r>
            <w:r>
              <w:rPr>
                <w:rFonts w:cs="Arial"/>
                <w:bCs/>
                <w:sz w:val="22"/>
                <w:szCs w:val="22"/>
              </w:rPr>
              <w:t>)</w:t>
            </w:r>
          </w:p>
        </w:tc>
        <w:tc>
          <w:tcPr>
            <w:tcW w:w="1275"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sidRPr="000976F3">
              <w:rPr>
                <w:rFonts w:cs="Arial"/>
                <w:bCs/>
                <w:sz w:val="22"/>
                <w:szCs w:val="22"/>
              </w:rPr>
              <w:t>0.000</w:t>
            </w:r>
          </w:p>
        </w:tc>
        <w:tc>
          <w:tcPr>
            <w:tcW w:w="1197"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Pr>
                <w:rFonts w:cs="Arial"/>
                <w:bCs/>
                <w:sz w:val="22"/>
                <w:szCs w:val="22"/>
              </w:rPr>
              <w:t>(</w:t>
            </w:r>
            <w:r w:rsidRPr="000976F3">
              <w:rPr>
                <w:rFonts w:cs="Arial"/>
                <w:bCs/>
                <w:sz w:val="22"/>
                <w:szCs w:val="22"/>
              </w:rPr>
              <w:t>9.800</w:t>
            </w:r>
            <w:r>
              <w:rPr>
                <w:rFonts w:cs="Arial"/>
                <w:bCs/>
                <w:sz w:val="22"/>
                <w:szCs w:val="22"/>
              </w:rPr>
              <w:t>)</w:t>
            </w:r>
          </w:p>
        </w:tc>
      </w:tr>
      <w:tr w:rsidR="0035497C"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0976F3" w:rsidRDefault="0035497C" w:rsidP="00F32527">
            <w:pPr>
              <w:rPr>
                <w:rFonts w:cs="Arial"/>
                <w:bCs/>
                <w:sz w:val="22"/>
                <w:szCs w:val="22"/>
              </w:rPr>
            </w:pPr>
            <w:r w:rsidRPr="000976F3">
              <w:rPr>
                <w:rFonts w:cs="Arial"/>
                <w:bCs/>
                <w:sz w:val="22"/>
                <w:szCs w:val="22"/>
              </w:rPr>
              <w:t>Burnley BC contribution to Burnley Town Centre</w:t>
            </w:r>
          </w:p>
        </w:tc>
        <w:tc>
          <w:tcPr>
            <w:tcW w:w="1276"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Pr>
                <w:rFonts w:cs="Arial"/>
                <w:bCs/>
                <w:sz w:val="22"/>
                <w:szCs w:val="22"/>
              </w:rPr>
              <w:t>(</w:t>
            </w:r>
            <w:r w:rsidRPr="000976F3">
              <w:rPr>
                <w:rFonts w:cs="Arial"/>
                <w:bCs/>
                <w:sz w:val="22"/>
                <w:szCs w:val="22"/>
              </w:rPr>
              <w:t>0.700</w:t>
            </w:r>
            <w:r>
              <w:rPr>
                <w:rFonts w:cs="Arial"/>
                <w:bCs/>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Pr>
                <w:rFonts w:cs="Arial"/>
                <w:bCs/>
                <w:sz w:val="22"/>
                <w:szCs w:val="22"/>
              </w:rPr>
              <w:t>(</w:t>
            </w:r>
            <w:r w:rsidRPr="000976F3">
              <w:rPr>
                <w:rFonts w:cs="Arial"/>
                <w:bCs/>
                <w:sz w:val="22"/>
                <w:szCs w:val="22"/>
              </w:rPr>
              <w:t>0.550</w:t>
            </w:r>
            <w:r>
              <w:rPr>
                <w:rFonts w:cs="Arial"/>
                <w:bCs/>
                <w:sz w:val="22"/>
                <w:szCs w:val="22"/>
              </w:rPr>
              <w:t>)</w:t>
            </w:r>
          </w:p>
        </w:tc>
        <w:tc>
          <w:tcPr>
            <w:tcW w:w="1275"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sidRPr="000976F3">
              <w:rPr>
                <w:rFonts w:cs="Arial"/>
                <w:bCs/>
                <w:sz w:val="22"/>
                <w:szCs w:val="22"/>
              </w:rPr>
              <w:t> </w:t>
            </w:r>
          </w:p>
        </w:tc>
        <w:tc>
          <w:tcPr>
            <w:tcW w:w="1197" w:type="dxa"/>
            <w:tcBorders>
              <w:top w:val="nil"/>
              <w:left w:val="nil"/>
              <w:bottom w:val="single" w:sz="4" w:space="0" w:color="auto"/>
              <w:right w:val="single" w:sz="4" w:space="0" w:color="auto"/>
            </w:tcBorders>
            <w:shd w:val="clear" w:color="auto" w:fill="auto"/>
            <w:vAlign w:val="bottom"/>
          </w:tcPr>
          <w:p w:rsidR="0035497C" w:rsidRPr="000976F3" w:rsidRDefault="0035497C" w:rsidP="007363B5">
            <w:pPr>
              <w:jc w:val="right"/>
              <w:rPr>
                <w:rFonts w:cs="Arial"/>
                <w:bCs/>
                <w:sz w:val="22"/>
                <w:szCs w:val="22"/>
              </w:rPr>
            </w:pPr>
            <w:r>
              <w:rPr>
                <w:rFonts w:cs="Arial"/>
                <w:bCs/>
                <w:sz w:val="22"/>
                <w:szCs w:val="22"/>
              </w:rPr>
              <w:t>(</w:t>
            </w:r>
            <w:r w:rsidRPr="000976F3">
              <w:rPr>
                <w:rFonts w:cs="Arial"/>
                <w:bCs/>
                <w:sz w:val="22"/>
                <w:szCs w:val="22"/>
              </w:rPr>
              <w:t>1.250</w:t>
            </w:r>
            <w:r>
              <w:rPr>
                <w:rFonts w:cs="Arial"/>
                <w:bCs/>
                <w:sz w:val="22"/>
                <w:szCs w:val="22"/>
              </w:rPr>
              <w:t>)</w:t>
            </w:r>
          </w:p>
        </w:tc>
      </w:tr>
      <w:tr w:rsidR="0035497C" w:rsidRPr="004E3E0F"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4E3E0F" w:rsidRDefault="0035497C" w:rsidP="00F32527">
            <w:pPr>
              <w:rPr>
                <w:rFonts w:cs="Arial"/>
                <w:bCs/>
                <w:sz w:val="22"/>
                <w:szCs w:val="22"/>
              </w:rPr>
            </w:pPr>
            <w:r w:rsidRPr="004E3E0F">
              <w:rPr>
                <w:rFonts w:cs="Arial"/>
                <w:bCs/>
                <w:sz w:val="22"/>
                <w:szCs w:val="22"/>
              </w:rPr>
              <w:t>BDUK match funding re SFBB Phase 2</w:t>
            </w: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r w:rsidRPr="004E3E0F">
              <w:rPr>
                <w:rFonts w:cs="Arial"/>
                <w:bCs/>
                <w:sz w:val="22"/>
                <w:szCs w:val="22"/>
              </w:rPr>
              <w:t>(1.200)</w:t>
            </w: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p>
        </w:tc>
        <w:tc>
          <w:tcPr>
            <w:tcW w:w="1275"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p>
        </w:tc>
        <w:tc>
          <w:tcPr>
            <w:tcW w:w="1197"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r w:rsidRPr="004E3E0F">
              <w:rPr>
                <w:rFonts w:cs="Arial"/>
                <w:bCs/>
                <w:sz w:val="22"/>
                <w:szCs w:val="22"/>
              </w:rPr>
              <w:t>(1.200)</w:t>
            </w:r>
          </w:p>
        </w:tc>
      </w:tr>
      <w:tr w:rsidR="005C0601" w:rsidRPr="004E3E0F"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5C0601" w:rsidRPr="000C6E06" w:rsidRDefault="005C0601" w:rsidP="00F32527">
            <w:pPr>
              <w:rPr>
                <w:rFonts w:cs="Arial"/>
                <w:bCs/>
                <w:sz w:val="22"/>
                <w:szCs w:val="22"/>
              </w:rPr>
            </w:pPr>
            <w:r w:rsidRPr="000C6E06">
              <w:rPr>
                <w:rFonts w:cs="Arial"/>
                <w:bCs/>
                <w:sz w:val="22"/>
                <w:szCs w:val="22"/>
              </w:rPr>
              <w:t xml:space="preserve">Contribution from existing capital programme  Economic Development block </w:t>
            </w:r>
          </w:p>
        </w:tc>
        <w:tc>
          <w:tcPr>
            <w:tcW w:w="1276" w:type="dxa"/>
            <w:tcBorders>
              <w:top w:val="nil"/>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Cs/>
                <w:sz w:val="22"/>
                <w:szCs w:val="22"/>
              </w:rPr>
            </w:pPr>
            <w:r w:rsidRPr="000C6E06">
              <w:rPr>
                <w:rFonts w:cs="Arial"/>
                <w:bCs/>
                <w:sz w:val="22"/>
                <w:szCs w:val="22"/>
              </w:rPr>
              <w:t>(0.500</w:t>
            </w:r>
            <w:r w:rsidR="0013274D">
              <w:rPr>
                <w:rFonts w:cs="Arial"/>
                <w:bCs/>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Cs/>
                <w:sz w:val="22"/>
                <w:szCs w:val="22"/>
              </w:rPr>
            </w:pPr>
            <w:r w:rsidRPr="000C6E06">
              <w:rPr>
                <w:rFonts w:cs="Arial"/>
                <w:bCs/>
                <w:sz w:val="22"/>
                <w:szCs w:val="22"/>
              </w:rPr>
              <w:t>(3.200)</w:t>
            </w:r>
          </w:p>
        </w:tc>
        <w:tc>
          <w:tcPr>
            <w:tcW w:w="1275" w:type="dxa"/>
            <w:tcBorders>
              <w:top w:val="nil"/>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Cs/>
                <w:sz w:val="22"/>
                <w:szCs w:val="22"/>
              </w:rPr>
            </w:pPr>
          </w:p>
        </w:tc>
        <w:tc>
          <w:tcPr>
            <w:tcW w:w="1197" w:type="dxa"/>
            <w:tcBorders>
              <w:top w:val="nil"/>
              <w:left w:val="nil"/>
              <w:bottom w:val="single" w:sz="4" w:space="0" w:color="auto"/>
              <w:right w:val="single" w:sz="4" w:space="0" w:color="auto"/>
            </w:tcBorders>
            <w:shd w:val="clear" w:color="auto" w:fill="auto"/>
            <w:vAlign w:val="bottom"/>
          </w:tcPr>
          <w:p w:rsidR="005C0601" w:rsidRPr="000C6E06" w:rsidRDefault="005C0601" w:rsidP="007363B5">
            <w:pPr>
              <w:jc w:val="right"/>
              <w:rPr>
                <w:rFonts w:cs="Arial"/>
                <w:bCs/>
                <w:sz w:val="22"/>
                <w:szCs w:val="22"/>
              </w:rPr>
            </w:pPr>
            <w:r w:rsidRPr="000C6E06">
              <w:rPr>
                <w:rFonts w:cs="Arial"/>
                <w:bCs/>
                <w:sz w:val="22"/>
                <w:szCs w:val="22"/>
              </w:rPr>
              <w:t>(3.700)</w:t>
            </w:r>
          </w:p>
        </w:tc>
      </w:tr>
      <w:tr w:rsidR="0035497C" w:rsidRPr="004E3E0F"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4E3E0F" w:rsidRDefault="0035497C" w:rsidP="00F32527">
            <w:pPr>
              <w:rPr>
                <w:rFonts w:cs="Arial"/>
                <w:b/>
                <w:bCs/>
                <w:sz w:val="22"/>
                <w:szCs w:val="22"/>
              </w:rPr>
            </w:pPr>
            <w:r w:rsidRPr="004E3E0F">
              <w:rPr>
                <w:rFonts w:cs="Arial"/>
                <w:b/>
                <w:bCs/>
                <w:sz w:val="22"/>
                <w:szCs w:val="22"/>
              </w:rPr>
              <w:t>Set aside from Reserves:</w:t>
            </w: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p>
        </w:tc>
        <w:tc>
          <w:tcPr>
            <w:tcW w:w="1275"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p>
        </w:tc>
        <w:tc>
          <w:tcPr>
            <w:tcW w:w="1197"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p>
        </w:tc>
      </w:tr>
      <w:tr w:rsidR="0035497C" w:rsidRPr="004E3E0F" w:rsidTr="00F32527">
        <w:tc>
          <w:tcPr>
            <w:tcW w:w="4219" w:type="dxa"/>
            <w:tcBorders>
              <w:top w:val="nil"/>
              <w:left w:val="single" w:sz="4" w:space="0" w:color="auto"/>
              <w:bottom w:val="single" w:sz="4" w:space="0" w:color="auto"/>
              <w:right w:val="single" w:sz="4" w:space="0" w:color="auto"/>
            </w:tcBorders>
            <w:shd w:val="clear" w:color="auto" w:fill="auto"/>
            <w:vAlign w:val="bottom"/>
          </w:tcPr>
          <w:p w:rsidR="0035497C" w:rsidRPr="004E3E0F" w:rsidRDefault="0035497C" w:rsidP="00F32527">
            <w:pPr>
              <w:rPr>
                <w:rFonts w:cs="Arial"/>
                <w:bCs/>
                <w:sz w:val="22"/>
                <w:szCs w:val="22"/>
              </w:rPr>
            </w:pPr>
            <w:r w:rsidRPr="004E3E0F">
              <w:rPr>
                <w:rFonts w:cs="Arial"/>
                <w:bCs/>
                <w:sz w:val="22"/>
                <w:szCs w:val="22"/>
              </w:rPr>
              <w:t>Set aside from Waste PFI Reserve for Fire Suppression Systems at Thornton &amp; Farington (total £4m less £0.5m for 15/16)</w:t>
            </w: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r w:rsidRPr="004E3E0F">
              <w:rPr>
                <w:rFonts w:cs="Arial"/>
                <w:bCs/>
                <w:sz w:val="22"/>
                <w:szCs w:val="22"/>
              </w:rPr>
              <w:t>(1.500)</w:t>
            </w: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r w:rsidRPr="004E3E0F">
              <w:rPr>
                <w:rFonts w:cs="Arial"/>
                <w:bCs/>
                <w:sz w:val="22"/>
                <w:szCs w:val="22"/>
              </w:rPr>
              <w:t>(2.000)</w:t>
            </w:r>
          </w:p>
        </w:tc>
        <w:tc>
          <w:tcPr>
            <w:tcW w:w="1275"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r w:rsidRPr="004E3E0F">
              <w:rPr>
                <w:rFonts w:cs="Arial"/>
                <w:bCs/>
                <w:sz w:val="22"/>
                <w:szCs w:val="22"/>
              </w:rPr>
              <w:t> </w:t>
            </w:r>
          </w:p>
        </w:tc>
        <w:tc>
          <w:tcPr>
            <w:tcW w:w="1197"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Cs/>
                <w:sz w:val="22"/>
                <w:szCs w:val="22"/>
              </w:rPr>
            </w:pPr>
            <w:r w:rsidRPr="004E3E0F">
              <w:rPr>
                <w:rFonts w:cs="Arial"/>
                <w:bCs/>
                <w:sz w:val="22"/>
                <w:szCs w:val="22"/>
              </w:rPr>
              <w:t>(3.500)</w:t>
            </w:r>
          </w:p>
        </w:tc>
      </w:tr>
      <w:tr w:rsidR="00454178" w:rsidRPr="004E3E0F" w:rsidTr="00F32527">
        <w:tc>
          <w:tcPr>
            <w:tcW w:w="4219" w:type="dxa"/>
            <w:shd w:val="clear" w:color="auto" w:fill="auto"/>
          </w:tcPr>
          <w:p w:rsidR="00454178" w:rsidRPr="00454178" w:rsidRDefault="00454178" w:rsidP="00F32527">
            <w:pPr>
              <w:rPr>
                <w:sz w:val="22"/>
                <w:szCs w:val="22"/>
              </w:rPr>
            </w:pPr>
            <w:r w:rsidRPr="00454178">
              <w:rPr>
                <w:sz w:val="22"/>
                <w:szCs w:val="22"/>
              </w:rPr>
              <w:t>Set aside for Green Energy Fund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54178" w:rsidRPr="00454178" w:rsidRDefault="00454178" w:rsidP="007363B5">
            <w:pPr>
              <w:jc w:val="right"/>
              <w:rPr>
                <w:rFonts w:cs="Arial"/>
                <w:bCs/>
                <w:sz w:val="22"/>
                <w:szCs w:val="22"/>
              </w:rPr>
            </w:pPr>
            <w:r w:rsidRPr="00454178">
              <w:rPr>
                <w:rFonts w:cs="Arial"/>
                <w:bCs/>
                <w:sz w:val="22"/>
                <w:szCs w:val="22"/>
              </w:rPr>
              <w:t>(2.500)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454178" w:rsidRPr="00454178" w:rsidRDefault="00454178" w:rsidP="007363B5">
            <w:pPr>
              <w:jc w:val="right"/>
              <w:rPr>
                <w:rFonts w:cs="Arial"/>
                <w:bCs/>
                <w:sz w:val="22"/>
                <w:szCs w:val="22"/>
              </w:rPr>
            </w:pPr>
            <w:r w:rsidRPr="00454178">
              <w:rPr>
                <w:rFonts w:cs="Arial"/>
                <w:bCs/>
                <w:sz w:val="22"/>
                <w:szCs w:val="22"/>
              </w:rPr>
              <w:t>(2.500)</w:t>
            </w:r>
          </w:p>
        </w:tc>
        <w:tc>
          <w:tcPr>
            <w:tcW w:w="1275" w:type="dxa"/>
            <w:tcBorders>
              <w:top w:val="single" w:sz="4" w:space="0" w:color="auto"/>
              <w:left w:val="nil"/>
              <w:bottom w:val="single" w:sz="4" w:space="0" w:color="auto"/>
              <w:right w:val="single" w:sz="4" w:space="0" w:color="auto"/>
            </w:tcBorders>
            <w:shd w:val="clear" w:color="auto" w:fill="auto"/>
            <w:vAlign w:val="bottom"/>
          </w:tcPr>
          <w:p w:rsidR="00454178" w:rsidRPr="00454178" w:rsidRDefault="00454178" w:rsidP="007363B5">
            <w:pPr>
              <w:jc w:val="right"/>
              <w:rPr>
                <w:rFonts w:cs="Arial"/>
                <w:bCs/>
                <w:sz w:val="22"/>
                <w:szCs w:val="22"/>
              </w:rPr>
            </w:pPr>
          </w:p>
        </w:tc>
        <w:tc>
          <w:tcPr>
            <w:tcW w:w="1197" w:type="dxa"/>
            <w:tcBorders>
              <w:top w:val="single" w:sz="4" w:space="0" w:color="auto"/>
              <w:left w:val="nil"/>
              <w:bottom w:val="single" w:sz="4" w:space="0" w:color="auto"/>
              <w:right w:val="single" w:sz="4" w:space="0" w:color="auto"/>
            </w:tcBorders>
            <w:shd w:val="clear" w:color="auto" w:fill="auto"/>
            <w:vAlign w:val="bottom"/>
          </w:tcPr>
          <w:p w:rsidR="00454178" w:rsidRPr="00454178" w:rsidRDefault="00454178" w:rsidP="007363B5">
            <w:pPr>
              <w:jc w:val="right"/>
              <w:rPr>
                <w:rFonts w:cs="Arial"/>
                <w:bCs/>
                <w:sz w:val="22"/>
                <w:szCs w:val="22"/>
              </w:rPr>
            </w:pPr>
            <w:r w:rsidRPr="00454178">
              <w:rPr>
                <w:rFonts w:cs="Arial"/>
                <w:bCs/>
                <w:sz w:val="22"/>
                <w:szCs w:val="22"/>
              </w:rPr>
              <w:t>(5.000)</w:t>
            </w:r>
          </w:p>
        </w:tc>
      </w:tr>
      <w:tr w:rsidR="0035497C" w:rsidRPr="004E3E0F" w:rsidTr="00F32527">
        <w:tc>
          <w:tcPr>
            <w:tcW w:w="4219" w:type="dxa"/>
            <w:shd w:val="clear" w:color="auto" w:fill="auto"/>
          </w:tcPr>
          <w:p w:rsidR="0035497C" w:rsidRPr="004E3E0F" w:rsidRDefault="0035497C" w:rsidP="006A6ADE">
            <w:pPr>
              <w:jc w:val="left"/>
              <w:rPr>
                <w:b/>
                <w:sz w:val="22"/>
                <w:szCs w:val="22"/>
              </w:rPr>
            </w:pPr>
            <w:r w:rsidRPr="004E3E0F">
              <w:rPr>
                <w:b/>
                <w:sz w:val="22"/>
                <w:szCs w:val="22"/>
              </w:rPr>
              <w:t>Net Prudential Borrowing Requirement excluding City Deal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4</w:t>
            </w:r>
            <w:r w:rsidR="00454178">
              <w:rPr>
                <w:rFonts w:cs="Arial"/>
                <w:b/>
                <w:bCs/>
                <w:sz w:val="22"/>
                <w:szCs w:val="22"/>
              </w:rPr>
              <w:t>4.229</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1</w:t>
            </w:r>
            <w:r w:rsidR="00454178">
              <w:rPr>
                <w:rFonts w:cs="Arial"/>
                <w:b/>
                <w:bCs/>
                <w:sz w:val="22"/>
                <w:szCs w:val="22"/>
              </w:rPr>
              <w:t>3.550</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10.478</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454178" w:rsidP="007363B5">
            <w:pPr>
              <w:jc w:val="right"/>
              <w:rPr>
                <w:rFonts w:cs="Arial"/>
                <w:b/>
                <w:bCs/>
                <w:sz w:val="22"/>
                <w:szCs w:val="22"/>
              </w:rPr>
            </w:pPr>
            <w:r>
              <w:rPr>
                <w:rFonts w:cs="Arial"/>
                <w:b/>
                <w:bCs/>
                <w:sz w:val="22"/>
                <w:szCs w:val="22"/>
              </w:rPr>
              <w:t>68.257</w:t>
            </w:r>
          </w:p>
        </w:tc>
      </w:tr>
      <w:tr w:rsidR="0035497C" w:rsidRPr="004E3E0F" w:rsidTr="00F32527">
        <w:tc>
          <w:tcPr>
            <w:tcW w:w="4219" w:type="dxa"/>
            <w:shd w:val="clear" w:color="auto" w:fill="auto"/>
          </w:tcPr>
          <w:p w:rsidR="0035497C" w:rsidRPr="004E3E0F" w:rsidRDefault="0035497C" w:rsidP="00F32527">
            <w:pPr>
              <w:rPr>
                <w:b/>
                <w:sz w:val="22"/>
                <w:szCs w:val="22"/>
              </w:rPr>
            </w:pPr>
          </w:p>
          <w:p w:rsidR="0035497C" w:rsidRPr="004E3E0F" w:rsidRDefault="0035497C" w:rsidP="00F32527">
            <w:pPr>
              <w:rPr>
                <w:b/>
                <w:sz w:val="22"/>
                <w:szCs w:val="22"/>
              </w:rPr>
            </w:pPr>
            <w:r w:rsidRPr="004E3E0F">
              <w:rPr>
                <w:b/>
                <w:sz w:val="22"/>
                <w:szCs w:val="22"/>
              </w:rPr>
              <w:t>City Deal-</w:t>
            </w:r>
            <w:proofErr w:type="spellStart"/>
            <w:r w:rsidRPr="004E3E0F">
              <w:rPr>
                <w:b/>
                <w:sz w:val="22"/>
                <w:szCs w:val="22"/>
              </w:rPr>
              <w:t>cashflow</w:t>
            </w:r>
            <w:proofErr w:type="spellEnd"/>
            <w:r w:rsidRPr="004E3E0F">
              <w:rPr>
                <w:b/>
                <w:sz w:val="22"/>
                <w:szCs w:val="22"/>
              </w:rPr>
              <w:t xml:space="preserve"> support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4E3E0F" w:rsidRDefault="0035497C" w:rsidP="007363B5">
            <w:pPr>
              <w:jc w:val="right"/>
              <w:rPr>
                <w:rFonts w:cs="Arial"/>
                <w:sz w:val="22"/>
                <w:szCs w:val="22"/>
              </w:rPr>
            </w:pPr>
            <w:r w:rsidRPr="004E3E0F">
              <w:rPr>
                <w:rFonts w:cs="Arial"/>
                <w:sz w:val="22"/>
                <w:szCs w:val="22"/>
              </w:rPr>
              <w:t>28.024</w:t>
            </w:r>
          </w:p>
        </w:tc>
        <w:tc>
          <w:tcPr>
            <w:tcW w:w="1276"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sz w:val="22"/>
                <w:szCs w:val="22"/>
              </w:rPr>
            </w:pPr>
            <w:r w:rsidRPr="004E3E0F">
              <w:rPr>
                <w:rFonts w:cs="Arial"/>
                <w:sz w:val="22"/>
                <w:szCs w:val="22"/>
              </w:rPr>
              <w:t>18.373</w:t>
            </w:r>
          </w:p>
        </w:tc>
        <w:tc>
          <w:tcPr>
            <w:tcW w:w="1275"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sz w:val="22"/>
                <w:szCs w:val="22"/>
              </w:rPr>
            </w:pPr>
            <w:r w:rsidRPr="004E3E0F">
              <w:rPr>
                <w:rFonts w:cs="Arial"/>
                <w:sz w:val="22"/>
                <w:szCs w:val="22"/>
              </w:rPr>
              <w:t>7.333</w:t>
            </w:r>
          </w:p>
        </w:tc>
        <w:tc>
          <w:tcPr>
            <w:tcW w:w="1197"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sz w:val="22"/>
                <w:szCs w:val="22"/>
              </w:rPr>
            </w:pPr>
            <w:r w:rsidRPr="004E3E0F">
              <w:rPr>
                <w:rFonts w:cs="Arial"/>
                <w:sz w:val="22"/>
                <w:szCs w:val="22"/>
              </w:rPr>
              <w:t>53.730</w:t>
            </w:r>
          </w:p>
        </w:tc>
      </w:tr>
      <w:tr w:rsidR="0035497C" w:rsidRPr="004E3E0F" w:rsidTr="00F32527">
        <w:tc>
          <w:tcPr>
            <w:tcW w:w="4219" w:type="dxa"/>
            <w:shd w:val="clear" w:color="auto" w:fill="auto"/>
          </w:tcPr>
          <w:p w:rsidR="0035497C" w:rsidRPr="004E3E0F" w:rsidRDefault="0035497C" w:rsidP="00F32527">
            <w:pPr>
              <w:rPr>
                <w:b/>
                <w:sz w:val="22"/>
                <w:szCs w:val="22"/>
              </w:rPr>
            </w:pPr>
          </w:p>
          <w:p w:rsidR="0035497C" w:rsidRPr="004E3E0F" w:rsidRDefault="0035497C" w:rsidP="00F32527">
            <w:pPr>
              <w:rPr>
                <w:b/>
                <w:sz w:val="22"/>
                <w:szCs w:val="22"/>
              </w:rPr>
            </w:pPr>
            <w:r w:rsidRPr="004E3E0F">
              <w:rPr>
                <w:b/>
                <w:sz w:val="22"/>
                <w:szCs w:val="22"/>
              </w:rPr>
              <w:t>Total borrowing requirement</w:t>
            </w:r>
          </w:p>
        </w:tc>
        <w:tc>
          <w:tcPr>
            <w:tcW w:w="1276" w:type="dxa"/>
            <w:tcBorders>
              <w:top w:val="nil"/>
              <w:left w:val="single" w:sz="4" w:space="0" w:color="auto"/>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7</w:t>
            </w:r>
            <w:r w:rsidR="00454178">
              <w:rPr>
                <w:rFonts w:cs="Arial"/>
                <w:b/>
                <w:bCs/>
                <w:sz w:val="22"/>
                <w:szCs w:val="22"/>
              </w:rPr>
              <w:t>2.253</w:t>
            </w:r>
          </w:p>
        </w:tc>
        <w:tc>
          <w:tcPr>
            <w:tcW w:w="1276"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3</w:t>
            </w:r>
            <w:r w:rsidR="00454178">
              <w:rPr>
                <w:rFonts w:cs="Arial"/>
                <w:b/>
                <w:bCs/>
                <w:sz w:val="22"/>
                <w:szCs w:val="22"/>
              </w:rPr>
              <w:t>1.923</w:t>
            </w:r>
          </w:p>
        </w:tc>
        <w:tc>
          <w:tcPr>
            <w:tcW w:w="1275"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17.811</w:t>
            </w:r>
          </w:p>
        </w:tc>
        <w:tc>
          <w:tcPr>
            <w:tcW w:w="1197" w:type="dxa"/>
            <w:tcBorders>
              <w:top w:val="nil"/>
              <w:left w:val="nil"/>
              <w:bottom w:val="single" w:sz="4" w:space="0" w:color="auto"/>
              <w:right w:val="single" w:sz="4" w:space="0" w:color="auto"/>
            </w:tcBorders>
            <w:shd w:val="clear" w:color="auto" w:fill="auto"/>
            <w:vAlign w:val="bottom"/>
          </w:tcPr>
          <w:p w:rsidR="0035497C" w:rsidRPr="004E3E0F" w:rsidRDefault="0035497C" w:rsidP="007363B5">
            <w:pPr>
              <w:jc w:val="right"/>
              <w:rPr>
                <w:rFonts w:cs="Arial"/>
                <w:b/>
                <w:bCs/>
                <w:sz w:val="22"/>
                <w:szCs w:val="22"/>
              </w:rPr>
            </w:pPr>
            <w:r w:rsidRPr="004E3E0F">
              <w:rPr>
                <w:rFonts w:cs="Arial"/>
                <w:b/>
                <w:bCs/>
                <w:sz w:val="22"/>
                <w:szCs w:val="22"/>
              </w:rPr>
              <w:t>12</w:t>
            </w:r>
            <w:r w:rsidR="00454178">
              <w:rPr>
                <w:rFonts w:cs="Arial"/>
                <w:b/>
                <w:bCs/>
                <w:sz w:val="22"/>
                <w:szCs w:val="22"/>
              </w:rPr>
              <w:t>1</w:t>
            </w:r>
            <w:r w:rsidRPr="004E3E0F">
              <w:rPr>
                <w:rFonts w:cs="Arial"/>
                <w:b/>
                <w:bCs/>
                <w:sz w:val="22"/>
                <w:szCs w:val="22"/>
              </w:rPr>
              <w:t>.987</w:t>
            </w:r>
          </w:p>
        </w:tc>
      </w:tr>
    </w:tbl>
    <w:p w:rsidR="0035497C" w:rsidRPr="004E3E0F" w:rsidRDefault="0035497C" w:rsidP="0035497C"/>
    <w:p w:rsidR="0035497C" w:rsidRPr="004E3E0F" w:rsidRDefault="0035497C" w:rsidP="007363B5">
      <w:pPr>
        <w:spacing w:after="0"/>
      </w:pPr>
      <w:r w:rsidRPr="004E3E0F">
        <w:lastRenderedPageBreak/>
        <w:t xml:space="preserve">Table 5 identifies the revenue implications of the changes in the borrowing requirements (excluding City Deal </w:t>
      </w:r>
      <w:proofErr w:type="spellStart"/>
      <w:r w:rsidRPr="004E3E0F">
        <w:t>cashflow</w:t>
      </w:r>
      <w:proofErr w:type="spellEnd"/>
      <w:r w:rsidRPr="004E3E0F">
        <w:t xml:space="preserve"> support) set out in Table 4:</w:t>
      </w:r>
    </w:p>
    <w:p w:rsidR="0035497C" w:rsidRPr="004E3E0F" w:rsidRDefault="0035497C" w:rsidP="003549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256"/>
        <w:gridCol w:w="1125"/>
        <w:gridCol w:w="1125"/>
        <w:gridCol w:w="1065"/>
      </w:tblGrid>
      <w:tr w:rsidR="0035497C" w:rsidRPr="004E3E0F" w:rsidTr="00F32527">
        <w:tc>
          <w:tcPr>
            <w:tcW w:w="4672" w:type="dxa"/>
            <w:shd w:val="clear" w:color="auto" w:fill="auto"/>
          </w:tcPr>
          <w:p w:rsidR="0035497C" w:rsidRPr="004E3E0F" w:rsidRDefault="0035497C" w:rsidP="00F32527">
            <w:pPr>
              <w:rPr>
                <w:b/>
                <w:sz w:val="22"/>
                <w:szCs w:val="22"/>
              </w:rPr>
            </w:pPr>
            <w:r w:rsidRPr="004E3E0F">
              <w:rPr>
                <w:b/>
                <w:sz w:val="22"/>
                <w:szCs w:val="22"/>
              </w:rPr>
              <w:t>Table 5</w:t>
            </w:r>
          </w:p>
        </w:tc>
        <w:tc>
          <w:tcPr>
            <w:tcW w:w="1256" w:type="dxa"/>
            <w:shd w:val="clear" w:color="auto" w:fill="auto"/>
          </w:tcPr>
          <w:p w:rsidR="0035497C" w:rsidRPr="004E3E0F" w:rsidRDefault="0035497C" w:rsidP="00F32527">
            <w:pPr>
              <w:jc w:val="center"/>
              <w:rPr>
                <w:b/>
                <w:sz w:val="22"/>
                <w:szCs w:val="22"/>
              </w:rPr>
            </w:pPr>
            <w:r w:rsidRPr="004E3E0F">
              <w:rPr>
                <w:b/>
                <w:sz w:val="22"/>
                <w:szCs w:val="22"/>
              </w:rPr>
              <w:t>2016/17 £m</w:t>
            </w:r>
          </w:p>
        </w:tc>
        <w:tc>
          <w:tcPr>
            <w:tcW w:w="1125" w:type="dxa"/>
            <w:shd w:val="clear" w:color="auto" w:fill="auto"/>
          </w:tcPr>
          <w:p w:rsidR="0035497C" w:rsidRPr="004E3E0F" w:rsidRDefault="0035497C" w:rsidP="00F32527">
            <w:pPr>
              <w:jc w:val="center"/>
              <w:rPr>
                <w:b/>
                <w:sz w:val="22"/>
                <w:szCs w:val="22"/>
              </w:rPr>
            </w:pPr>
            <w:r w:rsidRPr="004E3E0F">
              <w:rPr>
                <w:b/>
                <w:sz w:val="22"/>
                <w:szCs w:val="22"/>
              </w:rPr>
              <w:t>2017/18 £m</w:t>
            </w:r>
          </w:p>
        </w:tc>
        <w:tc>
          <w:tcPr>
            <w:tcW w:w="1125" w:type="dxa"/>
          </w:tcPr>
          <w:p w:rsidR="0035497C" w:rsidRPr="004E3E0F" w:rsidRDefault="0035497C" w:rsidP="007363B5">
            <w:pPr>
              <w:spacing w:after="0"/>
              <w:jc w:val="center"/>
              <w:rPr>
                <w:b/>
                <w:sz w:val="22"/>
                <w:szCs w:val="22"/>
              </w:rPr>
            </w:pPr>
            <w:r w:rsidRPr="004E3E0F">
              <w:rPr>
                <w:b/>
                <w:sz w:val="22"/>
                <w:szCs w:val="22"/>
              </w:rPr>
              <w:t>2018/19</w:t>
            </w:r>
          </w:p>
          <w:p w:rsidR="0035497C" w:rsidRPr="004E3E0F" w:rsidRDefault="0035497C" w:rsidP="00F32527">
            <w:pPr>
              <w:jc w:val="center"/>
              <w:rPr>
                <w:b/>
                <w:sz w:val="22"/>
                <w:szCs w:val="22"/>
              </w:rPr>
            </w:pPr>
            <w:r w:rsidRPr="004E3E0F">
              <w:rPr>
                <w:b/>
                <w:sz w:val="22"/>
                <w:szCs w:val="22"/>
              </w:rPr>
              <w:t>£m</w:t>
            </w:r>
          </w:p>
        </w:tc>
        <w:tc>
          <w:tcPr>
            <w:tcW w:w="1065" w:type="dxa"/>
          </w:tcPr>
          <w:p w:rsidR="0035497C" w:rsidRPr="004E3E0F" w:rsidRDefault="0035497C" w:rsidP="007363B5">
            <w:pPr>
              <w:spacing w:after="0"/>
              <w:jc w:val="center"/>
              <w:rPr>
                <w:b/>
                <w:sz w:val="22"/>
                <w:szCs w:val="22"/>
              </w:rPr>
            </w:pPr>
            <w:r w:rsidRPr="004E3E0F">
              <w:rPr>
                <w:b/>
                <w:sz w:val="22"/>
                <w:szCs w:val="22"/>
              </w:rPr>
              <w:t>2019/20</w:t>
            </w:r>
          </w:p>
          <w:p w:rsidR="0035497C" w:rsidRPr="004E3E0F" w:rsidRDefault="0035497C" w:rsidP="00F32527">
            <w:pPr>
              <w:jc w:val="center"/>
              <w:rPr>
                <w:b/>
                <w:sz w:val="22"/>
                <w:szCs w:val="22"/>
              </w:rPr>
            </w:pPr>
            <w:r w:rsidRPr="004E3E0F">
              <w:rPr>
                <w:b/>
                <w:sz w:val="22"/>
                <w:szCs w:val="22"/>
              </w:rPr>
              <w:t>£m</w:t>
            </w:r>
          </w:p>
        </w:tc>
      </w:tr>
      <w:tr w:rsidR="007E5C6B" w:rsidRPr="004E3E0F" w:rsidTr="00F32527">
        <w:tc>
          <w:tcPr>
            <w:tcW w:w="4672" w:type="dxa"/>
            <w:shd w:val="clear" w:color="auto" w:fill="auto"/>
          </w:tcPr>
          <w:p w:rsidR="007E5C6B" w:rsidRPr="004E3E0F" w:rsidRDefault="007E5C6B" w:rsidP="007E5C6B">
            <w:pPr>
              <w:rPr>
                <w:b/>
                <w:sz w:val="22"/>
                <w:szCs w:val="22"/>
              </w:rPr>
            </w:pPr>
            <w:r w:rsidRPr="004E3E0F">
              <w:rPr>
                <w:b/>
                <w:sz w:val="22"/>
                <w:szCs w:val="22"/>
              </w:rPr>
              <w:t>Net Prudential Borrowing Requirement excluding City Deal per Table 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tcPr>
          <w:p w:rsidR="007E5C6B" w:rsidRPr="004E3E0F" w:rsidRDefault="007E5C6B" w:rsidP="007363B5">
            <w:pPr>
              <w:spacing w:after="0" w:line="480" w:lineRule="auto"/>
              <w:jc w:val="right"/>
              <w:rPr>
                <w:rFonts w:cs="Arial"/>
                <w:b/>
                <w:bCs/>
                <w:sz w:val="22"/>
                <w:szCs w:val="22"/>
              </w:rPr>
            </w:pPr>
            <w:r w:rsidRPr="004E3E0F">
              <w:rPr>
                <w:rFonts w:cs="Arial"/>
                <w:b/>
                <w:bCs/>
                <w:sz w:val="22"/>
                <w:szCs w:val="22"/>
              </w:rPr>
              <w:t>4</w:t>
            </w:r>
            <w:r>
              <w:rPr>
                <w:rFonts w:cs="Arial"/>
                <w:b/>
                <w:bCs/>
                <w:sz w:val="22"/>
                <w:szCs w:val="22"/>
              </w:rPr>
              <w:t>4.229</w:t>
            </w:r>
          </w:p>
        </w:tc>
        <w:tc>
          <w:tcPr>
            <w:tcW w:w="1125" w:type="dxa"/>
            <w:tcBorders>
              <w:top w:val="single" w:sz="4" w:space="0" w:color="auto"/>
              <w:left w:val="nil"/>
              <w:bottom w:val="single" w:sz="4" w:space="0" w:color="auto"/>
              <w:right w:val="single" w:sz="4" w:space="0" w:color="auto"/>
            </w:tcBorders>
            <w:shd w:val="clear" w:color="auto" w:fill="auto"/>
            <w:vAlign w:val="bottom"/>
          </w:tcPr>
          <w:p w:rsidR="007E5C6B" w:rsidRPr="004E3E0F" w:rsidRDefault="007E5C6B" w:rsidP="007363B5">
            <w:pPr>
              <w:spacing w:after="0" w:line="480" w:lineRule="auto"/>
              <w:jc w:val="right"/>
              <w:rPr>
                <w:rFonts w:cs="Arial"/>
                <w:b/>
                <w:bCs/>
                <w:sz w:val="22"/>
                <w:szCs w:val="22"/>
              </w:rPr>
            </w:pPr>
            <w:r w:rsidRPr="004E3E0F">
              <w:rPr>
                <w:rFonts w:cs="Arial"/>
                <w:b/>
                <w:bCs/>
                <w:sz w:val="22"/>
                <w:szCs w:val="22"/>
              </w:rPr>
              <w:t>1</w:t>
            </w:r>
            <w:r>
              <w:rPr>
                <w:rFonts w:cs="Arial"/>
                <w:b/>
                <w:bCs/>
                <w:sz w:val="22"/>
                <w:szCs w:val="22"/>
              </w:rPr>
              <w:t>3.550</w:t>
            </w:r>
          </w:p>
        </w:tc>
        <w:tc>
          <w:tcPr>
            <w:tcW w:w="1125" w:type="dxa"/>
            <w:tcBorders>
              <w:top w:val="single" w:sz="4" w:space="0" w:color="auto"/>
              <w:left w:val="nil"/>
              <w:bottom w:val="single" w:sz="4" w:space="0" w:color="auto"/>
              <w:right w:val="single" w:sz="4" w:space="0" w:color="auto"/>
            </w:tcBorders>
            <w:shd w:val="clear" w:color="auto" w:fill="auto"/>
            <w:vAlign w:val="bottom"/>
          </w:tcPr>
          <w:p w:rsidR="007E5C6B" w:rsidRPr="004E3E0F" w:rsidRDefault="007E5C6B" w:rsidP="007363B5">
            <w:pPr>
              <w:spacing w:after="0" w:line="480" w:lineRule="auto"/>
              <w:jc w:val="right"/>
              <w:rPr>
                <w:rFonts w:cs="Arial"/>
                <w:b/>
                <w:bCs/>
                <w:sz w:val="22"/>
                <w:szCs w:val="22"/>
              </w:rPr>
            </w:pPr>
            <w:r w:rsidRPr="004E3E0F">
              <w:rPr>
                <w:rFonts w:cs="Arial"/>
                <w:b/>
                <w:bCs/>
                <w:sz w:val="22"/>
                <w:szCs w:val="22"/>
              </w:rPr>
              <w:t>10.478</w:t>
            </w:r>
          </w:p>
        </w:tc>
        <w:tc>
          <w:tcPr>
            <w:tcW w:w="1065" w:type="dxa"/>
            <w:tcBorders>
              <w:top w:val="single" w:sz="4" w:space="0" w:color="auto"/>
              <w:left w:val="nil"/>
              <w:bottom w:val="single" w:sz="4" w:space="0" w:color="auto"/>
              <w:right w:val="single" w:sz="4" w:space="0" w:color="auto"/>
            </w:tcBorders>
          </w:tcPr>
          <w:p w:rsidR="007E5C6B" w:rsidRPr="004E3E0F" w:rsidRDefault="007E5C6B" w:rsidP="007363B5">
            <w:pPr>
              <w:spacing w:after="0"/>
              <w:jc w:val="right"/>
              <w:rPr>
                <w:rFonts w:cs="Arial"/>
                <w:b/>
                <w:bCs/>
                <w:sz w:val="22"/>
                <w:szCs w:val="22"/>
              </w:rPr>
            </w:pPr>
          </w:p>
        </w:tc>
      </w:tr>
      <w:tr w:rsidR="0035497C" w:rsidRPr="004E3E0F" w:rsidTr="00F32527">
        <w:tc>
          <w:tcPr>
            <w:tcW w:w="4672" w:type="dxa"/>
            <w:shd w:val="clear" w:color="auto" w:fill="auto"/>
          </w:tcPr>
          <w:p w:rsidR="0035497C" w:rsidRPr="004E3E0F" w:rsidRDefault="0035497C" w:rsidP="00F32527">
            <w:pPr>
              <w:rPr>
                <w:sz w:val="22"/>
                <w:szCs w:val="22"/>
              </w:rPr>
            </w:pPr>
            <w:r w:rsidRPr="004E3E0F">
              <w:rPr>
                <w:sz w:val="22"/>
                <w:szCs w:val="22"/>
              </w:rPr>
              <w:t>Interest Cost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0.666</w:t>
            </w:r>
          </w:p>
        </w:tc>
        <w:tc>
          <w:tcPr>
            <w:tcW w:w="1125" w:type="dxa"/>
            <w:tcBorders>
              <w:top w:val="single" w:sz="4" w:space="0" w:color="auto"/>
              <w:left w:val="nil"/>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1.536</w:t>
            </w:r>
          </w:p>
        </w:tc>
        <w:tc>
          <w:tcPr>
            <w:tcW w:w="1125" w:type="dxa"/>
            <w:tcBorders>
              <w:top w:val="single" w:sz="4" w:space="0" w:color="auto"/>
              <w:left w:val="nil"/>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1.897</w:t>
            </w:r>
          </w:p>
        </w:tc>
        <w:tc>
          <w:tcPr>
            <w:tcW w:w="1065" w:type="dxa"/>
            <w:tcBorders>
              <w:top w:val="single" w:sz="4" w:space="0" w:color="auto"/>
              <w:left w:val="nil"/>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2.054</w:t>
            </w:r>
          </w:p>
        </w:tc>
      </w:tr>
      <w:tr w:rsidR="0035497C" w:rsidRPr="004E3E0F" w:rsidTr="00F32527">
        <w:tc>
          <w:tcPr>
            <w:tcW w:w="4672" w:type="dxa"/>
            <w:shd w:val="clear" w:color="auto" w:fill="auto"/>
          </w:tcPr>
          <w:p w:rsidR="0035497C" w:rsidRPr="004E3E0F" w:rsidRDefault="0035497C" w:rsidP="00F32527">
            <w:pPr>
              <w:rPr>
                <w:sz w:val="22"/>
                <w:szCs w:val="22"/>
              </w:rPr>
            </w:pPr>
            <w:r w:rsidRPr="004E3E0F">
              <w:rPr>
                <w:sz w:val="22"/>
                <w:szCs w:val="22"/>
              </w:rPr>
              <w:t>Minimum Revenue Provision (Principal)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7363B5" w:rsidRDefault="0035497C" w:rsidP="007363B5">
            <w:pPr>
              <w:jc w:val="right"/>
              <w:rPr>
                <w:rFonts w:cs="Arial"/>
                <w:bCs/>
                <w:sz w:val="22"/>
                <w:szCs w:val="22"/>
              </w:rPr>
            </w:pPr>
            <w:r w:rsidRPr="007363B5">
              <w:rPr>
                <w:rFonts w:cs="Arial"/>
                <w:bCs/>
                <w:sz w:val="22"/>
                <w:szCs w:val="22"/>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0.559</w:t>
            </w:r>
          </w:p>
        </w:tc>
        <w:tc>
          <w:tcPr>
            <w:tcW w:w="1125" w:type="dxa"/>
            <w:tcBorders>
              <w:top w:val="single" w:sz="4" w:space="0" w:color="auto"/>
              <w:left w:val="nil"/>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0.748</w:t>
            </w:r>
          </w:p>
        </w:tc>
        <w:tc>
          <w:tcPr>
            <w:tcW w:w="1065" w:type="dxa"/>
            <w:tcBorders>
              <w:top w:val="single" w:sz="4" w:space="0" w:color="auto"/>
              <w:left w:val="nil"/>
              <w:bottom w:val="single" w:sz="4" w:space="0" w:color="auto"/>
              <w:right w:val="single" w:sz="4" w:space="0" w:color="auto"/>
            </w:tcBorders>
            <w:shd w:val="clear" w:color="auto" w:fill="auto"/>
            <w:vAlign w:val="bottom"/>
          </w:tcPr>
          <w:p w:rsidR="0035497C" w:rsidRPr="007363B5" w:rsidRDefault="00F05DED" w:rsidP="007363B5">
            <w:pPr>
              <w:jc w:val="right"/>
              <w:rPr>
                <w:rFonts w:cs="Arial"/>
                <w:bCs/>
                <w:sz w:val="22"/>
                <w:szCs w:val="22"/>
              </w:rPr>
            </w:pPr>
            <w:r w:rsidRPr="007363B5">
              <w:rPr>
                <w:rFonts w:cs="Arial"/>
                <w:bCs/>
                <w:sz w:val="22"/>
                <w:szCs w:val="22"/>
              </w:rPr>
              <w:t>0.944</w:t>
            </w:r>
          </w:p>
        </w:tc>
      </w:tr>
      <w:tr w:rsidR="0035497C" w:rsidTr="00F32527">
        <w:tc>
          <w:tcPr>
            <w:tcW w:w="4672" w:type="dxa"/>
            <w:shd w:val="clear" w:color="auto" w:fill="auto"/>
          </w:tcPr>
          <w:p w:rsidR="0035497C" w:rsidRPr="004E3E0F" w:rsidRDefault="0035497C" w:rsidP="006A6ADE">
            <w:pPr>
              <w:jc w:val="left"/>
              <w:rPr>
                <w:b/>
                <w:sz w:val="22"/>
                <w:szCs w:val="22"/>
              </w:rPr>
            </w:pPr>
            <w:r w:rsidRPr="004E3E0F">
              <w:rPr>
                <w:b/>
                <w:sz w:val="22"/>
                <w:szCs w:val="22"/>
              </w:rPr>
              <w:t>Total cost to revenue (interest and principal)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tcPr>
          <w:p w:rsidR="0035497C" w:rsidRPr="004E3E0F" w:rsidRDefault="00F05DED" w:rsidP="007363B5">
            <w:pPr>
              <w:spacing w:line="360" w:lineRule="auto"/>
              <w:jc w:val="right"/>
              <w:rPr>
                <w:rFonts w:cs="Arial"/>
                <w:b/>
                <w:bCs/>
                <w:sz w:val="22"/>
                <w:szCs w:val="22"/>
              </w:rPr>
            </w:pPr>
            <w:r>
              <w:rPr>
                <w:rFonts w:cs="Arial"/>
                <w:b/>
                <w:bCs/>
                <w:sz w:val="22"/>
                <w:szCs w:val="22"/>
              </w:rPr>
              <w:t>0.666</w:t>
            </w:r>
          </w:p>
        </w:tc>
        <w:tc>
          <w:tcPr>
            <w:tcW w:w="1125"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F05DED" w:rsidP="007363B5">
            <w:pPr>
              <w:spacing w:line="360" w:lineRule="auto"/>
              <w:jc w:val="right"/>
              <w:rPr>
                <w:rFonts w:cs="Arial"/>
                <w:b/>
                <w:bCs/>
                <w:sz w:val="22"/>
                <w:szCs w:val="22"/>
              </w:rPr>
            </w:pPr>
            <w:r>
              <w:rPr>
                <w:rFonts w:cs="Arial"/>
                <w:b/>
                <w:bCs/>
                <w:sz w:val="22"/>
                <w:szCs w:val="22"/>
              </w:rPr>
              <w:t>2.905</w:t>
            </w:r>
          </w:p>
        </w:tc>
        <w:tc>
          <w:tcPr>
            <w:tcW w:w="1125"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F05DED" w:rsidP="007363B5">
            <w:pPr>
              <w:spacing w:line="360" w:lineRule="auto"/>
              <w:jc w:val="right"/>
              <w:rPr>
                <w:rFonts w:cs="Arial"/>
                <w:b/>
                <w:bCs/>
                <w:sz w:val="22"/>
                <w:szCs w:val="22"/>
              </w:rPr>
            </w:pPr>
            <w:r>
              <w:rPr>
                <w:rFonts w:cs="Arial"/>
                <w:b/>
                <w:bCs/>
                <w:sz w:val="22"/>
                <w:szCs w:val="22"/>
              </w:rPr>
              <w:t>2.645</w:t>
            </w:r>
          </w:p>
        </w:tc>
        <w:tc>
          <w:tcPr>
            <w:tcW w:w="1065" w:type="dxa"/>
            <w:tcBorders>
              <w:top w:val="single" w:sz="4" w:space="0" w:color="auto"/>
              <w:left w:val="nil"/>
              <w:bottom w:val="single" w:sz="4" w:space="0" w:color="auto"/>
              <w:right w:val="single" w:sz="4" w:space="0" w:color="auto"/>
            </w:tcBorders>
            <w:shd w:val="clear" w:color="auto" w:fill="auto"/>
            <w:vAlign w:val="bottom"/>
          </w:tcPr>
          <w:p w:rsidR="0035497C" w:rsidRPr="004E3E0F" w:rsidRDefault="00F05DED" w:rsidP="007363B5">
            <w:pPr>
              <w:spacing w:line="360" w:lineRule="auto"/>
              <w:jc w:val="right"/>
              <w:rPr>
                <w:rFonts w:cs="Arial"/>
                <w:b/>
                <w:bCs/>
                <w:sz w:val="22"/>
                <w:szCs w:val="22"/>
              </w:rPr>
            </w:pPr>
            <w:r>
              <w:rPr>
                <w:rFonts w:cs="Arial"/>
                <w:b/>
                <w:bCs/>
                <w:sz w:val="22"/>
                <w:szCs w:val="22"/>
              </w:rPr>
              <w:t>2.998</w:t>
            </w:r>
          </w:p>
        </w:tc>
      </w:tr>
    </w:tbl>
    <w:p w:rsidR="0035497C" w:rsidRDefault="0035497C" w:rsidP="007363B5">
      <w:pPr>
        <w:spacing w:after="0"/>
      </w:pPr>
    </w:p>
    <w:p w:rsidR="0035497C" w:rsidRDefault="0035497C" w:rsidP="007363B5">
      <w:pPr>
        <w:spacing w:after="0"/>
      </w:pPr>
      <w:r>
        <w:t>The interest calculations are based upon an interest rate of 3%. This is based on the current average rate used by the Public Works Loan Board (PWLB), with 6 months interest being calculated in the first year of borrowing and a full 12 months in the following year.  The minimum revenue provision is one fortieth of the prior year's debt. The revenue implications of this borrowing have been included within the MTFS.</w:t>
      </w:r>
    </w:p>
    <w:p w:rsidR="0035497C" w:rsidRPr="007363B5" w:rsidRDefault="0035497C" w:rsidP="0035497C">
      <w:r w:rsidRPr="0036430A">
        <w:t xml:space="preserve"> </w:t>
      </w:r>
    </w:p>
    <w:p w:rsidR="0035497C" w:rsidRDefault="0035497C" w:rsidP="007363B5">
      <w:pPr>
        <w:pStyle w:val="ListParagraph"/>
        <w:numPr>
          <w:ilvl w:val="0"/>
          <w:numId w:val="41"/>
        </w:numPr>
        <w:spacing w:after="0"/>
        <w:ind w:left="284" w:hanging="284"/>
        <w:rPr>
          <w:b/>
        </w:rPr>
      </w:pPr>
      <w:bookmarkStart w:id="0" w:name="_GoBack"/>
      <w:r w:rsidRPr="007363B5">
        <w:rPr>
          <w:b/>
        </w:rPr>
        <w:t>Risks, important issues and funding pressures</w:t>
      </w:r>
    </w:p>
    <w:p w:rsidR="007363B5" w:rsidRPr="007363B5" w:rsidRDefault="007363B5" w:rsidP="007363B5">
      <w:pPr>
        <w:pStyle w:val="ListParagraph"/>
        <w:spacing w:after="0"/>
        <w:ind w:left="284"/>
        <w:rPr>
          <w:b/>
        </w:rPr>
      </w:pPr>
    </w:p>
    <w:p w:rsidR="0035497C" w:rsidRDefault="0035497C" w:rsidP="0035497C">
      <w:r>
        <w:t>Annex 1 provides an analysis of potential risks, issues and funding pressures which may affect the capital programme moving forward.</w:t>
      </w:r>
    </w:p>
    <w:bookmarkEnd w:id="0"/>
    <w:p w:rsidR="0035497C" w:rsidRDefault="0035497C" w:rsidP="0035497C"/>
    <w:sectPr w:rsidR="0035497C" w:rsidSect="0035497C">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8D" w:rsidRDefault="00EE418D" w:rsidP="00124FDC">
      <w:pPr>
        <w:spacing w:after="0"/>
      </w:pPr>
      <w:r>
        <w:separator/>
      </w:r>
    </w:p>
  </w:endnote>
  <w:endnote w:type="continuationSeparator" w:id="0">
    <w:p w:rsidR="00EE418D" w:rsidRDefault="00EE418D"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303"/>
      <w:docPartObj>
        <w:docPartGallery w:val="Page Numbers (Bottom of Page)"/>
        <w:docPartUnique/>
      </w:docPartObj>
    </w:sdtPr>
    <w:sdtEndPr>
      <w:rPr>
        <w:noProof/>
      </w:rPr>
    </w:sdtEndPr>
    <w:sdtContent>
      <w:p w:rsidR="00EE418D" w:rsidRDefault="00EE418D">
        <w:pPr>
          <w:pStyle w:val="Footer"/>
        </w:pPr>
        <w:r>
          <w:fldChar w:fldCharType="begin"/>
        </w:r>
        <w:r>
          <w:instrText xml:space="preserve"> PAGE   \* MERGEFORMAT </w:instrText>
        </w:r>
        <w:r>
          <w:fldChar w:fldCharType="separate"/>
        </w:r>
        <w:r w:rsidR="00FD3085">
          <w:rPr>
            <w:noProof/>
          </w:rPr>
          <w:t>12</w:t>
        </w:r>
        <w:r>
          <w:rPr>
            <w:noProof/>
          </w:rPr>
          <w:fldChar w:fldCharType="end"/>
        </w:r>
      </w:p>
    </w:sdtContent>
  </w:sdt>
  <w:p w:rsidR="00EE418D" w:rsidRDefault="00EE4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8D" w:rsidRDefault="00EE418D" w:rsidP="00124FDC">
      <w:pPr>
        <w:spacing w:after="0"/>
      </w:pPr>
      <w:r>
        <w:separator/>
      </w:r>
    </w:p>
  </w:footnote>
  <w:footnote w:type="continuationSeparator" w:id="0">
    <w:p w:rsidR="00EE418D" w:rsidRDefault="00EE418D"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8D" w:rsidRDefault="00EE418D">
    <w:pPr>
      <w:pStyle w:val="Header"/>
    </w:pPr>
    <w:r>
      <w:rPr>
        <w:noProof/>
        <w:lang w:eastAsia="en-GB"/>
      </w:rPr>
      <w:drawing>
        <wp:anchor distT="0" distB="0" distL="114300" distR="114300" simplePos="0" relativeHeight="251657216" behindDoc="1" locked="0" layoutInCell="1" allowOverlap="1" wp14:anchorId="6C77939A" wp14:editId="4266754E">
          <wp:simplePos x="0" y="0"/>
          <wp:positionH relativeFrom="column">
            <wp:posOffset>-915035</wp:posOffset>
          </wp:positionH>
          <wp:positionV relativeFrom="paragraph">
            <wp:posOffset>-189230</wp:posOffset>
          </wp:positionV>
          <wp:extent cx="7548880" cy="6653530"/>
          <wp:effectExtent l="19050" t="0" r="0" b="0"/>
          <wp:wrapNone/>
          <wp:docPr id="18" name="Picture 18"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8D" w:rsidRDefault="00EE418D" w:rsidP="00846AEA">
    <w:pPr>
      <w:pStyle w:val="Header"/>
    </w:pPr>
    <w:r>
      <w:rPr>
        <w:noProof/>
        <w:lang w:eastAsia="en-GB"/>
      </w:rPr>
      <w:drawing>
        <wp:anchor distT="0" distB="0" distL="114300" distR="114300" simplePos="0" relativeHeight="251658240" behindDoc="1" locked="0" layoutInCell="1" allowOverlap="1" wp14:anchorId="6FAEFCA3" wp14:editId="271EE81C">
          <wp:simplePos x="0" y="0"/>
          <wp:positionH relativeFrom="page">
            <wp:posOffset>-12065</wp:posOffset>
          </wp:positionH>
          <wp:positionV relativeFrom="paragraph">
            <wp:posOffset>-450850</wp:posOffset>
          </wp:positionV>
          <wp:extent cx="7568565" cy="10720070"/>
          <wp:effectExtent l="0" t="0" r="0" b="5080"/>
          <wp:wrapNone/>
          <wp:docPr id="1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60288" behindDoc="0" locked="0" layoutInCell="1" allowOverlap="1" wp14:anchorId="67BB4D6A" wp14:editId="1795D425">
              <wp:simplePos x="0" y="0"/>
              <wp:positionH relativeFrom="column">
                <wp:posOffset>5384165</wp:posOffset>
              </wp:positionH>
              <wp:positionV relativeFrom="paragraph">
                <wp:posOffset>-173990</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rsidR="00EE418D" w:rsidRPr="000C5639" w:rsidRDefault="00EE418D" w:rsidP="008308E2">
                          <w:pPr>
                            <w:rPr>
                              <w:b/>
                            </w:rPr>
                          </w:pPr>
                          <w:r w:rsidRPr="000C5639">
                            <w:rPr>
                              <w:b/>
                            </w:rPr>
                            <w:t xml:space="preserve">Appendix </w:t>
                          </w:r>
                          <w:r>
                            <w:rPr>
                              <w:b/>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B4D6A" id="_x0000_t202" coordsize="21600,21600" o:spt="202" path="m,l,21600r21600,l21600,xe">
              <v:stroke joinstyle="miter"/>
              <v:path gradientshapeok="t" o:connecttype="rect"/>
            </v:shapetype>
            <v:shape id="Text Box 2" o:spid="_x0000_s1027" type="#_x0000_t202" style="position:absolute;left:0;text-align:left;margin-left:423.95pt;margin-top:-13.7pt;width:86.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">
              <v:textbox style="mso-fit-shape-to-text:t">
                <w:txbxContent>
                  <w:p w:rsidR="00EE418D" w:rsidRPr="000C5639" w:rsidRDefault="00EE418D" w:rsidP="008308E2">
                    <w:pPr>
                      <w:rPr>
                        <w:b/>
                      </w:rPr>
                    </w:pPr>
                    <w:r w:rsidRPr="000C5639">
                      <w:rPr>
                        <w:b/>
                      </w:rPr>
                      <w:t xml:space="preserve">Appendix </w:t>
                    </w:r>
                    <w:r>
                      <w:rPr>
                        <w:b/>
                      </w:rPr>
                      <w:t>D</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370B6D"/>
    <w:multiLevelType w:val="hybridMultilevel"/>
    <w:tmpl w:val="F2C88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FD41C2"/>
    <w:multiLevelType w:val="hybridMultilevel"/>
    <w:tmpl w:val="C07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6A0AD0"/>
    <w:multiLevelType w:val="hybridMultilevel"/>
    <w:tmpl w:val="6130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1F6A4F"/>
    <w:multiLevelType w:val="hybridMultilevel"/>
    <w:tmpl w:val="FEDCE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F7D73D0"/>
    <w:multiLevelType w:val="hybridMultilevel"/>
    <w:tmpl w:val="914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7F051F"/>
    <w:multiLevelType w:val="hybridMultilevel"/>
    <w:tmpl w:val="3A8C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445781"/>
    <w:multiLevelType w:val="hybridMultilevel"/>
    <w:tmpl w:val="7D1072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2A720947"/>
    <w:multiLevelType w:val="hybridMultilevel"/>
    <w:tmpl w:val="1EF0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72947"/>
    <w:multiLevelType w:val="hybridMultilevel"/>
    <w:tmpl w:val="782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374212FF"/>
    <w:multiLevelType w:val="hybridMultilevel"/>
    <w:tmpl w:val="F14E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D455ED"/>
    <w:multiLevelType w:val="hybridMultilevel"/>
    <w:tmpl w:val="64EE7634"/>
    <w:lvl w:ilvl="0" w:tplc="B2CE2D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D57106"/>
    <w:multiLevelType w:val="hybridMultilevel"/>
    <w:tmpl w:val="E0F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39A1AE7"/>
    <w:multiLevelType w:val="hybridMultilevel"/>
    <w:tmpl w:val="4DC8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9625A3"/>
    <w:multiLevelType w:val="hybridMultilevel"/>
    <w:tmpl w:val="B404A0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3D0E88"/>
    <w:multiLevelType w:val="hybridMultilevel"/>
    <w:tmpl w:val="6B088218"/>
    <w:lvl w:ilvl="0" w:tplc="F230B1F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887F59"/>
    <w:multiLevelType w:val="hybridMultilevel"/>
    <w:tmpl w:val="A43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1165D"/>
    <w:multiLevelType w:val="hybridMultilevel"/>
    <w:tmpl w:val="537E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C1795"/>
    <w:multiLevelType w:val="hybridMultilevel"/>
    <w:tmpl w:val="065660EC"/>
    <w:lvl w:ilvl="0" w:tplc="9A80B360">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15990"/>
    <w:multiLevelType w:val="hybridMultilevel"/>
    <w:tmpl w:val="53D8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7F0ADE"/>
    <w:multiLevelType w:val="hybridMultilevel"/>
    <w:tmpl w:val="160E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B07B0"/>
    <w:multiLevelType w:val="hybridMultilevel"/>
    <w:tmpl w:val="F262516C"/>
    <w:lvl w:ilvl="0" w:tplc="DA2459FE">
      <w:start w:val="5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96EB2"/>
    <w:multiLevelType w:val="hybridMultilevel"/>
    <w:tmpl w:val="C06C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44"/>
  </w:num>
  <w:num w:numId="4">
    <w:abstractNumId w:val="3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1"/>
  </w:num>
  <w:num w:numId="27">
    <w:abstractNumId w:val="37"/>
  </w:num>
  <w:num w:numId="28">
    <w:abstractNumId w:val="39"/>
  </w:num>
  <w:num w:numId="29">
    <w:abstractNumId w:val="28"/>
  </w:num>
  <w:num w:numId="30">
    <w:abstractNumId w:val="42"/>
  </w:num>
  <w:num w:numId="31">
    <w:abstractNumId w:val="46"/>
  </w:num>
  <w:num w:numId="32">
    <w:abstractNumId w:val="36"/>
  </w:num>
  <w:num w:numId="33">
    <w:abstractNumId w:val="31"/>
  </w:num>
  <w:num w:numId="34">
    <w:abstractNumId w:val="32"/>
  </w:num>
  <w:num w:numId="35">
    <w:abstractNumId w:val="27"/>
  </w:num>
  <w:num w:numId="36">
    <w:abstractNumId w:val="43"/>
  </w:num>
  <w:num w:numId="37">
    <w:abstractNumId w:val="26"/>
  </w:num>
  <w:num w:numId="38">
    <w:abstractNumId w:val="40"/>
  </w:num>
  <w:num w:numId="39">
    <w:abstractNumId w:val="47"/>
  </w:num>
  <w:num w:numId="40">
    <w:abstractNumId w:val="30"/>
  </w:num>
  <w:num w:numId="41">
    <w:abstractNumId w:val="35"/>
  </w:num>
  <w:num w:numId="42">
    <w:abstractNumId w:val="24"/>
  </w:num>
  <w:num w:numId="43">
    <w:abstractNumId w:val="20"/>
  </w:num>
  <w:num w:numId="44">
    <w:abstractNumId w:val="45"/>
  </w:num>
  <w:num w:numId="45">
    <w:abstractNumId w:val="25"/>
  </w:num>
  <w:num w:numId="46">
    <w:abstractNumId w:val="41"/>
  </w:num>
  <w:num w:numId="47">
    <w:abstractNumId w:val="34"/>
  </w:num>
  <w:num w:numId="4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228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6BA"/>
    <w:rsid w:val="00002B14"/>
    <w:rsid w:val="0000388E"/>
    <w:rsid w:val="00004C5F"/>
    <w:rsid w:val="00005501"/>
    <w:rsid w:val="000120E8"/>
    <w:rsid w:val="0001341B"/>
    <w:rsid w:val="00015827"/>
    <w:rsid w:val="0002009B"/>
    <w:rsid w:val="000205B8"/>
    <w:rsid w:val="000211C6"/>
    <w:rsid w:val="0002209D"/>
    <w:rsid w:val="000237CB"/>
    <w:rsid w:val="00025819"/>
    <w:rsid w:val="00031CD4"/>
    <w:rsid w:val="00041E11"/>
    <w:rsid w:val="000448A4"/>
    <w:rsid w:val="00044FF2"/>
    <w:rsid w:val="0004609F"/>
    <w:rsid w:val="00046226"/>
    <w:rsid w:val="00050E0F"/>
    <w:rsid w:val="00054C03"/>
    <w:rsid w:val="00057B51"/>
    <w:rsid w:val="000701AB"/>
    <w:rsid w:val="0007606B"/>
    <w:rsid w:val="000760F0"/>
    <w:rsid w:val="00081E12"/>
    <w:rsid w:val="00083512"/>
    <w:rsid w:val="0008360D"/>
    <w:rsid w:val="00084D4D"/>
    <w:rsid w:val="00085091"/>
    <w:rsid w:val="00092756"/>
    <w:rsid w:val="0009438D"/>
    <w:rsid w:val="000A09DB"/>
    <w:rsid w:val="000A1E1B"/>
    <w:rsid w:val="000A3809"/>
    <w:rsid w:val="000A3BD2"/>
    <w:rsid w:val="000A778B"/>
    <w:rsid w:val="000B002C"/>
    <w:rsid w:val="000B11F8"/>
    <w:rsid w:val="000B281E"/>
    <w:rsid w:val="000B29E0"/>
    <w:rsid w:val="000B6F0F"/>
    <w:rsid w:val="000C35EE"/>
    <w:rsid w:val="000C390F"/>
    <w:rsid w:val="000C58C2"/>
    <w:rsid w:val="000C6E06"/>
    <w:rsid w:val="000D15C8"/>
    <w:rsid w:val="000D1F39"/>
    <w:rsid w:val="000D2D80"/>
    <w:rsid w:val="000D3601"/>
    <w:rsid w:val="000D4BF2"/>
    <w:rsid w:val="000E00B0"/>
    <w:rsid w:val="000E02B4"/>
    <w:rsid w:val="000E1A3D"/>
    <w:rsid w:val="000E475F"/>
    <w:rsid w:val="000E4831"/>
    <w:rsid w:val="000F12AA"/>
    <w:rsid w:val="000F2609"/>
    <w:rsid w:val="000F2763"/>
    <w:rsid w:val="000F2931"/>
    <w:rsid w:val="000F50B3"/>
    <w:rsid w:val="000F5D50"/>
    <w:rsid w:val="000F748D"/>
    <w:rsid w:val="001001D6"/>
    <w:rsid w:val="001033DA"/>
    <w:rsid w:val="00112B05"/>
    <w:rsid w:val="00112D46"/>
    <w:rsid w:val="00122701"/>
    <w:rsid w:val="001230E2"/>
    <w:rsid w:val="00124613"/>
    <w:rsid w:val="001248E1"/>
    <w:rsid w:val="00124FDC"/>
    <w:rsid w:val="001265CF"/>
    <w:rsid w:val="0013075A"/>
    <w:rsid w:val="001314AB"/>
    <w:rsid w:val="001318F2"/>
    <w:rsid w:val="0013274D"/>
    <w:rsid w:val="001356BF"/>
    <w:rsid w:val="001373D0"/>
    <w:rsid w:val="00142E26"/>
    <w:rsid w:val="00145C7C"/>
    <w:rsid w:val="00147C02"/>
    <w:rsid w:val="00147CFE"/>
    <w:rsid w:val="0015063B"/>
    <w:rsid w:val="00151735"/>
    <w:rsid w:val="00153BDE"/>
    <w:rsid w:val="00153DEB"/>
    <w:rsid w:val="001540FB"/>
    <w:rsid w:val="00154FFB"/>
    <w:rsid w:val="00155727"/>
    <w:rsid w:val="001562D2"/>
    <w:rsid w:val="00157938"/>
    <w:rsid w:val="00157EBA"/>
    <w:rsid w:val="0016157E"/>
    <w:rsid w:val="00164374"/>
    <w:rsid w:val="00165163"/>
    <w:rsid w:val="0016768E"/>
    <w:rsid w:val="001701B4"/>
    <w:rsid w:val="0017059D"/>
    <w:rsid w:val="00173663"/>
    <w:rsid w:val="00174280"/>
    <w:rsid w:val="00175707"/>
    <w:rsid w:val="001760F2"/>
    <w:rsid w:val="0017632B"/>
    <w:rsid w:val="00176F2E"/>
    <w:rsid w:val="0018066A"/>
    <w:rsid w:val="00185694"/>
    <w:rsid w:val="001859CA"/>
    <w:rsid w:val="001873E0"/>
    <w:rsid w:val="001A134C"/>
    <w:rsid w:val="001A4C2E"/>
    <w:rsid w:val="001A5E75"/>
    <w:rsid w:val="001B540F"/>
    <w:rsid w:val="001B5633"/>
    <w:rsid w:val="001C1BD1"/>
    <w:rsid w:val="001C1C6F"/>
    <w:rsid w:val="001D163E"/>
    <w:rsid w:val="001D24BD"/>
    <w:rsid w:val="001D39F6"/>
    <w:rsid w:val="001D6C4E"/>
    <w:rsid w:val="001E175C"/>
    <w:rsid w:val="001E22B3"/>
    <w:rsid w:val="001E3125"/>
    <w:rsid w:val="001E417F"/>
    <w:rsid w:val="001E6005"/>
    <w:rsid w:val="001E7C51"/>
    <w:rsid w:val="001E7EF0"/>
    <w:rsid w:val="001F0530"/>
    <w:rsid w:val="001F0AA6"/>
    <w:rsid w:val="002012C2"/>
    <w:rsid w:val="002022B9"/>
    <w:rsid w:val="0020271F"/>
    <w:rsid w:val="002059DA"/>
    <w:rsid w:val="00210D52"/>
    <w:rsid w:val="00211C9D"/>
    <w:rsid w:val="00212096"/>
    <w:rsid w:val="0021392C"/>
    <w:rsid w:val="00214801"/>
    <w:rsid w:val="00222D1E"/>
    <w:rsid w:val="0022383E"/>
    <w:rsid w:val="00224312"/>
    <w:rsid w:val="0022443C"/>
    <w:rsid w:val="002267A3"/>
    <w:rsid w:val="00227E9E"/>
    <w:rsid w:val="002303B9"/>
    <w:rsid w:val="00231E00"/>
    <w:rsid w:val="0023427F"/>
    <w:rsid w:val="002345FB"/>
    <w:rsid w:val="0024246B"/>
    <w:rsid w:val="00245B18"/>
    <w:rsid w:val="00247D4E"/>
    <w:rsid w:val="002533B1"/>
    <w:rsid w:val="00257164"/>
    <w:rsid w:val="002578B8"/>
    <w:rsid w:val="00261A20"/>
    <w:rsid w:val="00263DFF"/>
    <w:rsid w:val="0026678D"/>
    <w:rsid w:val="00267A41"/>
    <w:rsid w:val="00267E3B"/>
    <w:rsid w:val="00267F8F"/>
    <w:rsid w:val="00275B89"/>
    <w:rsid w:val="00275BC5"/>
    <w:rsid w:val="00281DD8"/>
    <w:rsid w:val="002822BA"/>
    <w:rsid w:val="00282A88"/>
    <w:rsid w:val="00283C71"/>
    <w:rsid w:val="00290320"/>
    <w:rsid w:val="00290F56"/>
    <w:rsid w:val="002918E8"/>
    <w:rsid w:val="00291D41"/>
    <w:rsid w:val="00297702"/>
    <w:rsid w:val="002A0203"/>
    <w:rsid w:val="002A18D1"/>
    <w:rsid w:val="002A1E91"/>
    <w:rsid w:val="002A28D9"/>
    <w:rsid w:val="002A2C0D"/>
    <w:rsid w:val="002A3292"/>
    <w:rsid w:val="002A351D"/>
    <w:rsid w:val="002A6DE2"/>
    <w:rsid w:val="002A73B9"/>
    <w:rsid w:val="002B0172"/>
    <w:rsid w:val="002B35AA"/>
    <w:rsid w:val="002B6FC4"/>
    <w:rsid w:val="002B6FE9"/>
    <w:rsid w:val="002C2E75"/>
    <w:rsid w:val="002C4196"/>
    <w:rsid w:val="002D042D"/>
    <w:rsid w:val="002D05B4"/>
    <w:rsid w:val="002D09C5"/>
    <w:rsid w:val="002D4C3D"/>
    <w:rsid w:val="002D5781"/>
    <w:rsid w:val="002D637D"/>
    <w:rsid w:val="002D71FE"/>
    <w:rsid w:val="002D7921"/>
    <w:rsid w:val="002E0CED"/>
    <w:rsid w:val="002E5340"/>
    <w:rsid w:val="002E5C88"/>
    <w:rsid w:val="002E65B7"/>
    <w:rsid w:val="002F0530"/>
    <w:rsid w:val="002F3210"/>
    <w:rsid w:val="002F364A"/>
    <w:rsid w:val="002F4AF1"/>
    <w:rsid w:val="002F5836"/>
    <w:rsid w:val="002F60DB"/>
    <w:rsid w:val="003006E7"/>
    <w:rsid w:val="00301F95"/>
    <w:rsid w:val="003059E8"/>
    <w:rsid w:val="00307077"/>
    <w:rsid w:val="003071F8"/>
    <w:rsid w:val="00313657"/>
    <w:rsid w:val="00321030"/>
    <w:rsid w:val="003218D4"/>
    <w:rsid w:val="003219F2"/>
    <w:rsid w:val="003220F6"/>
    <w:rsid w:val="0032276D"/>
    <w:rsid w:val="0032298A"/>
    <w:rsid w:val="00323880"/>
    <w:rsid w:val="00324827"/>
    <w:rsid w:val="00325446"/>
    <w:rsid w:val="00325737"/>
    <w:rsid w:val="00325CF6"/>
    <w:rsid w:val="00326867"/>
    <w:rsid w:val="00327570"/>
    <w:rsid w:val="003321F2"/>
    <w:rsid w:val="003332FC"/>
    <w:rsid w:val="003348C9"/>
    <w:rsid w:val="003350AF"/>
    <w:rsid w:val="00340774"/>
    <w:rsid w:val="003416CE"/>
    <w:rsid w:val="003461DA"/>
    <w:rsid w:val="00350F56"/>
    <w:rsid w:val="00352C6F"/>
    <w:rsid w:val="0035497C"/>
    <w:rsid w:val="00356EED"/>
    <w:rsid w:val="003626CB"/>
    <w:rsid w:val="00363A3A"/>
    <w:rsid w:val="00364241"/>
    <w:rsid w:val="00364D69"/>
    <w:rsid w:val="00365603"/>
    <w:rsid w:val="00365825"/>
    <w:rsid w:val="0036630C"/>
    <w:rsid w:val="00366317"/>
    <w:rsid w:val="0037393E"/>
    <w:rsid w:val="00386B6C"/>
    <w:rsid w:val="00386E22"/>
    <w:rsid w:val="003875B6"/>
    <w:rsid w:val="0039080E"/>
    <w:rsid w:val="003908B6"/>
    <w:rsid w:val="0039333E"/>
    <w:rsid w:val="00394975"/>
    <w:rsid w:val="00394BBA"/>
    <w:rsid w:val="0039786E"/>
    <w:rsid w:val="003979D0"/>
    <w:rsid w:val="003A1659"/>
    <w:rsid w:val="003A3FCE"/>
    <w:rsid w:val="003A444B"/>
    <w:rsid w:val="003A55F8"/>
    <w:rsid w:val="003A58CB"/>
    <w:rsid w:val="003A68E3"/>
    <w:rsid w:val="003A7DCB"/>
    <w:rsid w:val="003B0C73"/>
    <w:rsid w:val="003B38A7"/>
    <w:rsid w:val="003B6681"/>
    <w:rsid w:val="003B6C18"/>
    <w:rsid w:val="003B77BD"/>
    <w:rsid w:val="003C0C55"/>
    <w:rsid w:val="003C5D0D"/>
    <w:rsid w:val="003C78FD"/>
    <w:rsid w:val="003C795B"/>
    <w:rsid w:val="003D1166"/>
    <w:rsid w:val="003D2899"/>
    <w:rsid w:val="003D4B91"/>
    <w:rsid w:val="003D4FBB"/>
    <w:rsid w:val="003D7663"/>
    <w:rsid w:val="003E1CEE"/>
    <w:rsid w:val="003E3D87"/>
    <w:rsid w:val="003E4C50"/>
    <w:rsid w:val="003E4EB1"/>
    <w:rsid w:val="003E743D"/>
    <w:rsid w:val="003F0E62"/>
    <w:rsid w:val="003F21BD"/>
    <w:rsid w:val="003F35F7"/>
    <w:rsid w:val="003F55B6"/>
    <w:rsid w:val="00405273"/>
    <w:rsid w:val="00405959"/>
    <w:rsid w:val="00410414"/>
    <w:rsid w:val="004131D7"/>
    <w:rsid w:val="00421596"/>
    <w:rsid w:val="00424E57"/>
    <w:rsid w:val="0042503D"/>
    <w:rsid w:val="00426D32"/>
    <w:rsid w:val="00430C9E"/>
    <w:rsid w:val="0043297A"/>
    <w:rsid w:val="00435847"/>
    <w:rsid w:val="00436341"/>
    <w:rsid w:val="004421CE"/>
    <w:rsid w:val="00442270"/>
    <w:rsid w:val="00442FAC"/>
    <w:rsid w:val="004439D4"/>
    <w:rsid w:val="00443CD3"/>
    <w:rsid w:val="0044464F"/>
    <w:rsid w:val="00447F80"/>
    <w:rsid w:val="00451501"/>
    <w:rsid w:val="00451CE6"/>
    <w:rsid w:val="004532BC"/>
    <w:rsid w:val="004533FD"/>
    <w:rsid w:val="00454178"/>
    <w:rsid w:val="0045628C"/>
    <w:rsid w:val="00460B9A"/>
    <w:rsid w:val="004649FE"/>
    <w:rsid w:val="004671DA"/>
    <w:rsid w:val="004672AC"/>
    <w:rsid w:val="0046768B"/>
    <w:rsid w:val="004707FF"/>
    <w:rsid w:val="004715BD"/>
    <w:rsid w:val="00472A0F"/>
    <w:rsid w:val="0048454A"/>
    <w:rsid w:val="00485432"/>
    <w:rsid w:val="004861DC"/>
    <w:rsid w:val="00487350"/>
    <w:rsid w:val="00490507"/>
    <w:rsid w:val="00495B01"/>
    <w:rsid w:val="004A07B6"/>
    <w:rsid w:val="004A4F18"/>
    <w:rsid w:val="004A5AE0"/>
    <w:rsid w:val="004A5CF8"/>
    <w:rsid w:val="004A6CE9"/>
    <w:rsid w:val="004B573E"/>
    <w:rsid w:val="004C22BB"/>
    <w:rsid w:val="004C2626"/>
    <w:rsid w:val="004C6D02"/>
    <w:rsid w:val="004D07A3"/>
    <w:rsid w:val="004D0F2F"/>
    <w:rsid w:val="004E0591"/>
    <w:rsid w:val="004E2AC4"/>
    <w:rsid w:val="004E3926"/>
    <w:rsid w:val="004F243C"/>
    <w:rsid w:val="004F4F4A"/>
    <w:rsid w:val="004F589C"/>
    <w:rsid w:val="004F7221"/>
    <w:rsid w:val="004F793C"/>
    <w:rsid w:val="005001EC"/>
    <w:rsid w:val="005030EA"/>
    <w:rsid w:val="005059F8"/>
    <w:rsid w:val="00506E45"/>
    <w:rsid w:val="005107F5"/>
    <w:rsid w:val="00510A25"/>
    <w:rsid w:val="00510FA4"/>
    <w:rsid w:val="00511019"/>
    <w:rsid w:val="00511F5D"/>
    <w:rsid w:val="00516099"/>
    <w:rsid w:val="0051670A"/>
    <w:rsid w:val="00516FCA"/>
    <w:rsid w:val="00520EBD"/>
    <w:rsid w:val="00522CA2"/>
    <w:rsid w:val="00527DEB"/>
    <w:rsid w:val="00531F2A"/>
    <w:rsid w:val="005331E8"/>
    <w:rsid w:val="00533982"/>
    <w:rsid w:val="00534553"/>
    <w:rsid w:val="00535451"/>
    <w:rsid w:val="005360E5"/>
    <w:rsid w:val="0054261B"/>
    <w:rsid w:val="0054272A"/>
    <w:rsid w:val="0054686B"/>
    <w:rsid w:val="00552F96"/>
    <w:rsid w:val="00553EFD"/>
    <w:rsid w:val="00554019"/>
    <w:rsid w:val="00556787"/>
    <w:rsid w:val="005602EE"/>
    <w:rsid w:val="00561177"/>
    <w:rsid w:val="00562427"/>
    <w:rsid w:val="00565DF7"/>
    <w:rsid w:val="00566CCD"/>
    <w:rsid w:val="005672F2"/>
    <w:rsid w:val="005703D9"/>
    <w:rsid w:val="00570C8B"/>
    <w:rsid w:val="005734D4"/>
    <w:rsid w:val="005802F2"/>
    <w:rsid w:val="00580887"/>
    <w:rsid w:val="005837F4"/>
    <w:rsid w:val="00591F1A"/>
    <w:rsid w:val="00592D07"/>
    <w:rsid w:val="00593CCA"/>
    <w:rsid w:val="00594064"/>
    <w:rsid w:val="00594228"/>
    <w:rsid w:val="00596920"/>
    <w:rsid w:val="005A3396"/>
    <w:rsid w:val="005A3514"/>
    <w:rsid w:val="005A3A16"/>
    <w:rsid w:val="005A4493"/>
    <w:rsid w:val="005A536F"/>
    <w:rsid w:val="005A5FDD"/>
    <w:rsid w:val="005A6BE8"/>
    <w:rsid w:val="005B0E0C"/>
    <w:rsid w:val="005B458D"/>
    <w:rsid w:val="005B483D"/>
    <w:rsid w:val="005B6038"/>
    <w:rsid w:val="005B7686"/>
    <w:rsid w:val="005C0601"/>
    <w:rsid w:val="005C14AC"/>
    <w:rsid w:val="005C2638"/>
    <w:rsid w:val="005C38AB"/>
    <w:rsid w:val="005C5693"/>
    <w:rsid w:val="005C7EF9"/>
    <w:rsid w:val="005D0F87"/>
    <w:rsid w:val="005D6709"/>
    <w:rsid w:val="005D7DDA"/>
    <w:rsid w:val="005E3610"/>
    <w:rsid w:val="005E6D70"/>
    <w:rsid w:val="005E7A5D"/>
    <w:rsid w:val="005F0A9A"/>
    <w:rsid w:val="005F13BF"/>
    <w:rsid w:val="005F2A49"/>
    <w:rsid w:val="005F5818"/>
    <w:rsid w:val="0060024B"/>
    <w:rsid w:val="006020A0"/>
    <w:rsid w:val="00602D56"/>
    <w:rsid w:val="00606AFF"/>
    <w:rsid w:val="006109CF"/>
    <w:rsid w:val="0061106D"/>
    <w:rsid w:val="00611480"/>
    <w:rsid w:val="0061204C"/>
    <w:rsid w:val="00614E23"/>
    <w:rsid w:val="006167C1"/>
    <w:rsid w:val="006203B4"/>
    <w:rsid w:val="006208E7"/>
    <w:rsid w:val="0062134E"/>
    <w:rsid w:val="006222BB"/>
    <w:rsid w:val="006226CB"/>
    <w:rsid w:val="00623FA1"/>
    <w:rsid w:val="00631B3A"/>
    <w:rsid w:val="0063358D"/>
    <w:rsid w:val="00634E3F"/>
    <w:rsid w:val="006377F0"/>
    <w:rsid w:val="00637DDF"/>
    <w:rsid w:val="00641054"/>
    <w:rsid w:val="00642CD8"/>
    <w:rsid w:val="00650336"/>
    <w:rsid w:val="00654564"/>
    <w:rsid w:val="006549D3"/>
    <w:rsid w:val="00656055"/>
    <w:rsid w:val="00656D23"/>
    <w:rsid w:val="006573DF"/>
    <w:rsid w:val="00657E34"/>
    <w:rsid w:val="00660E1F"/>
    <w:rsid w:val="00663E2A"/>
    <w:rsid w:val="00667914"/>
    <w:rsid w:val="00671323"/>
    <w:rsid w:val="00675165"/>
    <w:rsid w:val="00675B77"/>
    <w:rsid w:val="0067629B"/>
    <w:rsid w:val="006803D3"/>
    <w:rsid w:val="00684B24"/>
    <w:rsid w:val="00697E05"/>
    <w:rsid w:val="006A3CC4"/>
    <w:rsid w:val="006A4027"/>
    <w:rsid w:val="006A567C"/>
    <w:rsid w:val="006A6193"/>
    <w:rsid w:val="006A6ADE"/>
    <w:rsid w:val="006A7810"/>
    <w:rsid w:val="006B1F53"/>
    <w:rsid w:val="006B33CF"/>
    <w:rsid w:val="006B65FC"/>
    <w:rsid w:val="006C210D"/>
    <w:rsid w:val="006C4BA0"/>
    <w:rsid w:val="006C4EAD"/>
    <w:rsid w:val="006C4F7E"/>
    <w:rsid w:val="006C7B81"/>
    <w:rsid w:val="006C7F27"/>
    <w:rsid w:val="006D1BF2"/>
    <w:rsid w:val="006D5E1C"/>
    <w:rsid w:val="006D7BB1"/>
    <w:rsid w:val="006E1B23"/>
    <w:rsid w:val="006E286D"/>
    <w:rsid w:val="006E349B"/>
    <w:rsid w:val="006F4002"/>
    <w:rsid w:val="007014A1"/>
    <w:rsid w:val="00710F67"/>
    <w:rsid w:val="00711810"/>
    <w:rsid w:val="00712B15"/>
    <w:rsid w:val="00715DD9"/>
    <w:rsid w:val="00716937"/>
    <w:rsid w:val="00717052"/>
    <w:rsid w:val="007234A8"/>
    <w:rsid w:val="00724DE9"/>
    <w:rsid w:val="00726AF7"/>
    <w:rsid w:val="00730B2B"/>
    <w:rsid w:val="00733980"/>
    <w:rsid w:val="007363B5"/>
    <w:rsid w:val="00736579"/>
    <w:rsid w:val="007367F4"/>
    <w:rsid w:val="00737491"/>
    <w:rsid w:val="007423F7"/>
    <w:rsid w:val="007430FF"/>
    <w:rsid w:val="00744ED3"/>
    <w:rsid w:val="00745B0F"/>
    <w:rsid w:val="007468E3"/>
    <w:rsid w:val="00753FFD"/>
    <w:rsid w:val="00760CD7"/>
    <w:rsid w:val="0076182A"/>
    <w:rsid w:val="00761D40"/>
    <w:rsid w:val="0076207A"/>
    <w:rsid w:val="00762680"/>
    <w:rsid w:val="00763CFF"/>
    <w:rsid w:val="00763FC1"/>
    <w:rsid w:val="00770A24"/>
    <w:rsid w:val="00770CBB"/>
    <w:rsid w:val="007712F3"/>
    <w:rsid w:val="00772764"/>
    <w:rsid w:val="0077327C"/>
    <w:rsid w:val="0077399D"/>
    <w:rsid w:val="00782BD5"/>
    <w:rsid w:val="00782E0A"/>
    <w:rsid w:val="00784105"/>
    <w:rsid w:val="00784BFA"/>
    <w:rsid w:val="00785E83"/>
    <w:rsid w:val="007871E4"/>
    <w:rsid w:val="007926B0"/>
    <w:rsid w:val="00795732"/>
    <w:rsid w:val="00797100"/>
    <w:rsid w:val="007976DA"/>
    <w:rsid w:val="007A3EA8"/>
    <w:rsid w:val="007A5DF9"/>
    <w:rsid w:val="007A7D0A"/>
    <w:rsid w:val="007A7DEC"/>
    <w:rsid w:val="007B5C1B"/>
    <w:rsid w:val="007B6604"/>
    <w:rsid w:val="007B6838"/>
    <w:rsid w:val="007C126F"/>
    <w:rsid w:val="007C2D50"/>
    <w:rsid w:val="007C580E"/>
    <w:rsid w:val="007C6B28"/>
    <w:rsid w:val="007D70C1"/>
    <w:rsid w:val="007E1CBA"/>
    <w:rsid w:val="007E1FED"/>
    <w:rsid w:val="007E221D"/>
    <w:rsid w:val="007E5502"/>
    <w:rsid w:val="007E5C6B"/>
    <w:rsid w:val="007E6352"/>
    <w:rsid w:val="007E778D"/>
    <w:rsid w:val="007F0E6B"/>
    <w:rsid w:val="007F158D"/>
    <w:rsid w:val="007F2176"/>
    <w:rsid w:val="007F4E7D"/>
    <w:rsid w:val="007F58E7"/>
    <w:rsid w:val="007F6AD0"/>
    <w:rsid w:val="00800270"/>
    <w:rsid w:val="00806CFD"/>
    <w:rsid w:val="00811B44"/>
    <w:rsid w:val="00813CEC"/>
    <w:rsid w:val="00814640"/>
    <w:rsid w:val="00815238"/>
    <w:rsid w:val="00816112"/>
    <w:rsid w:val="00817D25"/>
    <w:rsid w:val="008201E5"/>
    <w:rsid w:val="00820838"/>
    <w:rsid w:val="0082179E"/>
    <w:rsid w:val="00821C3E"/>
    <w:rsid w:val="0082501A"/>
    <w:rsid w:val="00826647"/>
    <w:rsid w:val="00826EA6"/>
    <w:rsid w:val="0083075F"/>
    <w:rsid w:val="008308E2"/>
    <w:rsid w:val="008334E2"/>
    <w:rsid w:val="00835168"/>
    <w:rsid w:val="00835636"/>
    <w:rsid w:val="00841048"/>
    <w:rsid w:val="00841E4A"/>
    <w:rsid w:val="00843693"/>
    <w:rsid w:val="00843FA3"/>
    <w:rsid w:val="00846066"/>
    <w:rsid w:val="00846AEA"/>
    <w:rsid w:val="00846DAF"/>
    <w:rsid w:val="00847591"/>
    <w:rsid w:val="00850008"/>
    <w:rsid w:val="00853B6D"/>
    <w:rsid w:val="008544A3"/>
    <w:rsid w:val="008566C1"/>
    <w:rsid w:val="00857F53"/>
    <w:rsid w:val="00867701"/>
    <w:rsid w:val="008707EB"/>
    <w:rsid w:val="0087120B"/>
    <w:rsid w:val="00874FCD"/>
    <w:rsid w:val="00876B26"/>
    <w:rsid w:val="00876C85"/>
    <w:rsid w:val="0088444B"/>
    <w:rsid w:val="008865DD"/>
    <w:rsid w:val="00886A5B"/>
    <w:rsid w:val="00887C6E"/>
    <w:rsid w:val="0089452B"/>
    <w:rsid w:val="008A1889"/>
    <w:rsid w:val="008A18BE"/>
    <w:rsid w:val="008A301D"/>
    <w:rsid w:val="008B105C"/>
    <w:rsid w:val="008B1FD7"/>
    <w:rsid w:val="008B3812"/>
    <w:rsid w:val="008B4F66"/>
    <w:rsid w:val="008B63B8"/>
    <w:rsid w:val="008B7432"/>
    <w:rsid w:val="008C0177"/>
    <w:rsid w:val="008C12D0"/>
    <w:rsid w:val="008C21E6"/>
    <w:rsid w:val="008C31A8"/>
    <w:rsid w:val="008C335A"/>
    <w:rsid w:val="008C3748"/>
    <w:rsid w:val="008C40D3"/>
    <w:rsid w:val="008C4E81"/>
    <w:rsid w:val="008C65BD"/>
    <w:rsid w:val="008D1271"/>
    <w:rsid w:val="008D18C2"/>
    <w:rsid w:val="008D4B18"/>
    <w:rsid w:val="008D4FF6"/>
    <w:rsid w:val="008D5152"/>
    <w:rsid w:val="008D68F5"/>
    <w:rsid w:val="008D6E36"/>
    <w:rsid w:val="008D6F3B"/>
    <w:rsid w:val="008E11C5"/>
    <w:rsid w:val="008E2E36"/>
    <w:rsid w:val="008E4130"/>
    <w:rsid w:val="008E50BB"/>
    <w:rsid w:val="008E5502"/>
    <w:rsid w:val="008E697B"/>
    <w:rsid w:val="008E7D5A"/>
    <w:rsid w:val="008F279B"/>
    <w:rsid w:val="008F44ED"/>
    <w:rsid w:val="008F4FB2"/>
    <w:rsid w:val="008F6EFB"/>
    <w:rsid w:val="00900BA3"/>
    <w:rsid w:val="009028CB"/>
    <w:rsid w:val="00902AC0"/>
    <w:rsid w:val="00904B4A"/>
    <w:rsid w:val="009067BE"/>
    <w:rsid w:val="00914EC4"/>
    <w:rsid w:val="00917036"/>
    <w:rsid w:val="009177CF"/>
    <w:rsid w:val="00920F5E"/>
    <w:rsid w:val="009232BC"/>
    <w:rsid w:val="0092413A"/>
    <w:rsid w:val="009242B9"/>
    <w:rsid w:val="00926AF1"/>
    <w:rsid w:val="00932A59"/>
    <w:rsid w:val="00932C3B"/>
    <w:rsid w:val="00932C90"/>
    <w:rsid w:val="009337DD"/>
    <w:rsid w:val="009343D3"/>
    <w:rsid w:val="009370DF"/>
    <w:rsid w:val="00937EE0"/>
    <w:rsid w:val="00942AF1"/>
    <w:rsid w:val="00942BC2"/>
    <w:rsid w:val="00944150"/>
    <w:rsid w:val="00944389"/>
    <w:rsid w:val="009459FC"/>
    <w:rsid w:val="00945A94"/>
    <w:rsid w:val="00947954"/>
    <w:rsid w:val="00951032"/>
    <w:rsid w:val="00953E3D"/>
    <w:rsid w:val="00954D99"/>
    <w:rsid w:val="009554C0"/>
    <w:rsid w:val="00961639"/>
    <w:rsid w:val="00962629"/>
    <w:rsid w:val="009632D9"/>
    <w:rsid w:val="0096401E"/>
    <w:rsid w:val="009652E6"/>
    <w:rsid w:val="00966573"/>
    <w:rsid w:val="009677B6"/>
    <w:rsid w:val="00971041"/>
    <w:rsid w:val="0097747C"/>
    <w:rsid w:val="00980C35"/>
    <w:rsid w:val="009837B1"/>
    <w:rsid w:val="00991C0D"/>
    <w:rsid w:val="00994E2D"/>
    <w:rsid w:val="00996E68"/>
    <w:rsid w:val="009974F8"/>
    <w:rsid w:val="009A0AA5"/>
    <w:rsid w:val="009A1BDA"/>
    <w:rsid w:val="009A45BC"/>
    <w:rsid w:val="009A49D9"/>
    <w:rsid w:val="009A55BF"/>
    <w:rsid w:val="009A57B6"/>
    <w:rsid w:val="009A75A9"/>
    <w:rsid w:val="009B1C43"/>
    <w:rsid w:val="009B36E3"/>
    <w:rsid w:val="009C0024"/>
    <w:rsid w:val="009C0A9F"/>
    <w:rsid w:val="009C1250"/>
    <w:rsid w:val="009C33F5"/>
    <w:rsid w:val="009C449A"/>
    <w:rsid w:val="009C4A1A"/>
    <w:rsid w:val="009C4C42"/>
    <w:rsid w:val="009C760E"/>
    <w:rsid w:val="009D306C"/>
    <w:rsid w:val="009D4341"/>
    <w:rsid w:val="009D634A"/>
    <w:rsid w:val="009D6EAC"/>
    <w:rsid w:val="009E3DD1"/>
    <w:rsid w:val="009E6314"/>
    <w:rsid w:val="009E65C2"/>
    <w:rsid w:val="009E7327"/>
    <w:rsid w:val="009E7619"/>
    <w:rsid w:val="009F22F6"/>
    <w:rsid w:val="009F3D47"/>
    <w:rsid w:val="009F4CEB"/>
    <w:rsid w:val="009F4D59"/>
    <w:rsid w:val="009F6553"/>
    <w:rsid w:val="009F6B07"/>
    <w:rsid w:val="009F72F9"/>
    <w:rsid w:val="00A00174"/>
    <w:rsid w:val="00A01F63"/>
    <w:rsid w:val="00A0563B"/>
    <w:rsid w:val="00A06801"/>
    <w:rsid w:val="00A07590"/>
    <w:rsid w:val="00A07B04"/>
    <w:rsid w:val="00A07CC6"/>
    <w:rsid w:val="00A12C54"/>
    <w:rsid w:val="00A130FF"/>
    <w:rsid w:val="00A13281"/>
    <w:rsid w:val="00A14832"/>
    <w:rsid w:val="00A1541A"/>
    <w:rsid w:val="00A16641"/>
    <w:rsid w:val="00A22567"/>
    <w:rsid w:val="00A25C37"/>
    <w:rsid w:val="00A26ED3"/>
    <w:rsid w:val="00A31B9F"/>
    <w:rsid w:val="00A31E3E"/>
    <w:rsid w:val="00A32770"/>
    <w:rsid w:val="00A33695"/>
    <w:rsid w:val="00A33DBA"/>
    <w:rsid w:val="00A409DD"/>
    <w:rsid w:val="00A40E7B"/>
    <w:rsid w:val="00A43A8C"/>
    <w:rsid w:val="00A45169"/>
    <w:rsid w:val="00A476D5"/>
    <w:rsid w:val="00A50D4E"/>
    <w:rsid w:val="00A5127C"/>
    <w:rsid w:val="00A53AE1"/>
    <w:rsid w:val="00A53B2B"/>
    <w:rsid w:val="00A54AD7"/>
    <w:rsid w:val="00A55069"/>
    <w:rsid w:val="00A55927"/>
    <w:rsid w:val="00A63984"/>
    <w:rsid w:val="00A64CC1"/>
    <w:rsid w:val="00A67398"/>
    <w:rsid w:val="00A71A54"/>
    <w:rsid w:val="00A71B89"/>
    <w:rsid w:val="00A742E7"/>
    <w:rsid w:val="00A75E7D"/>
    <w:rsid w:val="00A76229"/>
    <w:rsid w:val="00A80EC4"/>
    <w:rsid w:val="00A814A4"/>
    <w:rsid w:val="00A8727C"/>
    <w:rsid w:val="00A87D18"/>
    <w:rsid w:val="00A90C2E"/>
    <w:rsid w:val="00A913E7"/>
    <w:rsid w:val="00A9462E"/>
    <w:rsid w:val="00A972C8"/>
    <w:rsid w:val="00AA0728"/>
    <w:rsid w:val="00AA3323"/>
    <w:rsid w:val="00AA76AE"/>
    <w:rsid w:val="00AB0570"/>
    <w:rsid w:val="00AB11FD"/>
    <w:rsid w:val="00AB4059"/>
    <w:rsid w:val="00AB4388"/>
    <w:rsid w:val="00AB5928"/>
    <w:rsid w:val="00AB5CBE"/>
    <w:rsid w:val="00AB639B"/>
    <w:rsid w:val="00AC1104"/>
    <w:rsid w:val="00AC24DC"/>
    <w:rsid w:val="00AC2986"/>
    <w:rsid w:val="00AC729D"/>
    <w:rsid w:val="00AD163D"/>
    <w:rsid w:val="00AD491B"/>
    <w:rsid w:val="00AE0B1C"/>
    <w:rsid w:val="00AE216F"/>
    <w:rsid w:val="00AE22F5"/>
    <w:rsid w:val="00AE3ED1"/>
    <w:rsid w:val="00AE476B"/>
    <w:rsid w:val="00AE50AD"/>
    <w:rsid w:val="00AE6843"/>
    <w:rsid w:val="00AF0023"/>
    <w:rsid w:val="00AF109C"/>
    <w:rsid w:val="00AF6FC3"/>
    <w:rsid w:val="00B0026F"/>
    <w:rsid w:val="00B02031"/>
    <w:rsid w:val="00B02322"/>
    <w:rsid w:val="00B028EF"/>
    <w:rsid w:val="00B05FDE"/>
    <w:rsid w:val="00B06F0A"/>
    <w:rsid w:val="00B10F0A"/>
    <w:rsid w:val="00B13675"/>
    <w:rsid w:val="00B14367"/>
    <w:rsid w:val="00B154FD"/>
    <w:rsid w:val="00B17597"/>
    <w:rsid w:val="00B17C06"/>
    <w:rsid w:val="00B21BF4"/>
    <w:rsid w:val="00B236CE"/>
    <w:rsid w:val="00B33471"/>
    <w:rsid w:val="00B33C93"/>
    <w:rsid w:val="00B34CA6"/>
    <w:rsid w:val="00B36058"/>
    <w:rsid w:val="00B406F6"/>
    <w:rsid w:val="00B4636D"/>
    <w:rsid w:val="00B52869"/>
    <w:rsid w:val="00B53F85"/>
    <w:rsid w:val="00B54B10"/>
    <w:rsid w:val="00B5683E"/>
    <w:rsid w:val="00B56DD4"/>
    <w:rsid w:val="00B56E63"/>
    <w:rsid w:val="00B57CAF"/>
    <w:rsid w:val="00B60B5D"/>
    <w:rsid w:val="00B670BD"/>
    <w:rsid w:val="00B71882"/>
    <w:rsid w:val="00B71EC4"/>
    <w:rsid w:val="00B74BCA"/>
    <w:rsid w:val="00B751C6"/>
    <w:rsid w:val="00B801DA"/>
    <w:rsid w:val="00B81CF2"/>
    <w:rsid w:val="00B81DFC"/>
    <w:rsid w:val="00B83EC5"/>
    <w:rsid w:val="00B84261"/>
    <w:rsid w:val="00B8588B"/>
    <w:rsid w:val="00B87A26"/>
    <w:rsid w:val="00B90034"/>
    <w:rsid w:val="00B913A7"/>
    <w:rsid w:val="00B941A5"/>
    <w:rsid w:val="00BA017E"/>
    <w:rsid w:val="00BA0228"/>
    <w:rsid w:val="00BA0BBC"/>
    <w:rsid w:val="00BA5584"/>
    <w:rsid w:val="00BA613A"/>
    <w:rsid w:val="00BB0421"/>
    <w:rsid w:val="00BB4615"/>
    <w:rsid w:val="00BC2003"/>
    <w:rsid w:val="00BC2619"/>
    <w:rsid w:val="00BC35EA"/>
    <w:rsid w:val="00BC3F45"/>
    <w:rsid w:val="00BC55E9"/>
    <w:rsid w:val="00BC5A58"/>
    <w:rsid w:val="00BD1DB6"/>
    <w:rsid w:val="00BD34B5"/>
    <w:rsid w:val="00BD3C60"/>
    <w:rsid w:val="00BD4528"/>
    <w:rsid w:val="00BD6097"/>
    <w:rsid w:val="00BD6692"/>
    <w:rsid w:val="00BE1183"/>
    <w:rsid w:val="00BE21CC"/>
    <w:rsid w:val="00BE7935"/>
    <w:rsid w:val="00BF09E5"/>
    <w:rsid w:val="00BF2D73"/>
    <w:rsid w:val="00BF3B3C"/>
    <w:rsid w:val="00BF5930"/>
    <w:rsid w:val="00C03BCA"/>
    <w:rsid w:val="00C0421D"/>
    <w:rsid w:val="00C04461"/>
    <w:rsid w:val="00C151AC"/>
    <w:rsid w:val="00C16288"/>
    <w:rsid w:val="00C1787A"/>
    <w:rsid w:val="00C2353A"/>
    <w:rsid w:val="00C26F63"/>
    <w:rsid w:val="00C27319"/>
    <w:rsid w:val="00C30A1A"/>
    <w:rsid w:val="00C34421"/>
    <w:rsid w:val="00C37EBE"/>
    <w:rsid w:val="00C40B15"/>
    <w:rsid w:val="00C40B56"/>
    <w:rsid w:val="00C428F9"/>
    <w:rsid w:val="00C43082"/>
    <w:rsid w:val="00C45AF1"/>
    <w:rsid w:val="00C51A09"/>
    <w:rsid w:val="00C53823"/>
    <w:rsid w:val="00C566BC"/>
    <w:rsid w:val="00C620F1"/>
    <w:rsid w:val="00C62BE1"/>
    <w:rsid w:val="00C650F9"/>
    <w:rsid w:val="00C700F5"/>
    <w:rsid w:val="00C71064"/>
    <w:rsid w:val="00C74127"/>
    <w:rsid w:val="00C7747C"/>
    <w:rsid w:val="00C85A16"/>
    <w:rsid w:val="00C85B55"/>
    <w:rsid w:val="00C85BBE"/>
    <w:rsid w:val="00C85F21"/>
    <w:rsid w:val="00C86488"/>
    <w:rsid w:val="00C86898"/>
    <w:rsid w:val="00C868B1"/>
    <w:rsid w:val="00C91973"/>
    <w:rsid w:val="00C94ABC"/>
    <w:rsid w:val="00C96500"/>
    <w:rsid w:val="00CA2380"/>
    <w:rsid w:val="00CA315B"/>
    <w:rsid w:val="00CA41D4"/>
    <w:rsid w:val="00CA55D4"/>
    <w:rsid w:val="00CA6E44"/>
    <w:rsid w:val="00CB06A1"/>
    <w:rsid w:val="00CB3ECF"/>
    <w:rsid w:val="00CB5342"/>
    <w:rsid w:val="00CB6B47"/>
    <w:rsid w:val="00CC274F"/>
    <w:rsid w:val="00CC34A1"/>
    <w:rsid w:val="00CC35AE"/>
    <w:rsid w:val="00CC3E43"/>
    <w:rsid w:val="00CC6027"/>
    <w:rsid w:val="00CD0A2C"/>
    <w:rsid w:val="00CD21F8"/>
    <w:rsid w:val="00CD75A1"/>
    <w:rsid w:val="00CD7B14"/>
    <w:rsid w:val="00CD7BD0"/>
    <w:rsid w:val="00CD7F99"/>
    <w:rsid w:val="00CE0408"/>
    <w:rsid w:val="00CE14DE"/>
    <w:rsid w:val="00CE3339"/>
    <w:rsid w:val="00CE4A71"/>
    <w:rsid w:val="00CF214A"/>
    <w:rsid w:val="00CF39EC"/>
    <w:rsid w:val="00CF52FD"/>
    <w:rsid w:val="00CF65F1"/>
    <w:rsid w:val="00CF65FA"/>
    <w:rsid w:val="00D00CE2"/>
    <w:rsid w:val="00D04825"/>
    <w:rsid w:val="00D07DEC"/>
    <w:rsid w:val="00D12059"/>
    <w:rsid w:val="00D12E3E"/>
    <w:rsid w:val="00D13931"/>
    <w:rsid w:val="00D14360"/>
    <w:rsid w:val="00D147D3"/>
    <w:rsid w:val="00D22B6E"/>
    <w:rsid w:val="00D237C4"/>
    <w:rsid w:val="00D23BBD"/>
    <w:rsid w:val="00D23F0F"/>
    <w:rsid w:val="00D311BD"/>
    <w:rsid w:val="00D317E1"/>
    <w:rsid w:val="00D368EE"/>
    <w:rsid w:val="00D40123"/>
    <w:rsid w:val="00D41E1D"/>
    <w:rsid w:val="00D50679"/>
    <w:rsid w:val="00D55058"/>
    <w:rsid w:val="00D565E0"/>
    <w:rsid w:val="00D636D5"/>
    <w:rsid w:val="00D66B17"/>
    <w:rsid w:val="00D739DC"/>
    <w:rsid w:val="00D73CD0"/>
    <w:rsid w:val="00D760E6"/>
    <w:rsid w:val="00D80B89"/>
    <w:rsid w:val="00D80E98"/>
    <w:rsid w:val="00D8469E"/>
    <w:rsid w:val="00D84F05"/>
    <w:rsid w:val="00D86FB3"/>
    <w:rsid w:val="00D87498"/>
    <w:rsid w:val="00D877CB"/>
    <w:rsid w:val="00D92F2E"/>
    <w:rsid w:val="00D96124"/>
    <w:rsid w:val="00D97C48"/>
    <w:rsid w:val="00DA2863"/>
    <w:rsid w:val="00DA3BAE"/>
    <w:rsid w:val="00DA420C"/>
    <w:rsid w:val="00DA486D"/>
    <w:rsid w:val="00DA518D"/>
    <w:rsid w:val="00DB11EF"/>
    <w:rsid w:val="00DB2982"/>
    <w:rsid w:val="00DB368D"/>
    <w:rsid w:val="00DB3CCE"/>
    <w:rsid w:val="00DB696F"/>
    <w:rsid w:val="00DB6FF3"/>
    <w:rsid w:val="00DB76CF"/>
    <w:rsid w:val="00DC2CF4"/>
    <w:rsid w:val="00DD1439"/>
    <w:rsid w:val="00DD5730"/>
    <w:rsid w:val="00DD6C57"/>
    <w:rsid w:val="00DD7991"/>
    <w:rsid w:val="00DD7B80"/>
    <w:rsid w:val="00DE6416"/>
    <w:rsid w:val="00DF2159"/>
    <w:rsid w:val="00DF24C5"/>
    <w:rsid w:val="00DF255D"/>
    <w:rsid w:val="00DF3D74"/>
    <w:rsid w:val="00DF68C8"/>
    <w:rsid w:val="00E003E3"/>
    <w:rsid w:val="00E04ED8"/>
    <w:rsid w:val="00E06715"/>
    <w:rsid w:val="00E06CD4"/>
    <w:rsid w:val="00E07FF4"/>
    <w:rsid w:val="00E128A8"/>
    <w:rsid w:val="00E12AC6"/>
    <w:rsid w:val="00E14767"/>
    <w:rsid w:val="00E148FD"/>
    <w:rsid w:val="00E17A6E"/>
    <w:rsid w:val="00E239D5"/>
    <w:rsid w:val="00E25992"/>
    <w:rsid w:val="00E273DB"/>
    <w:rsid w:val="00E27B55"/>
    <w:rsid w:val="00E301AD"/>
    <w:rsid w:val="00E33B55"/>
    <w:rsid w:val="00E33FA3"/>
    <w:rsid w:val="00E34346"/>
    <w:rsid w:val="00E3500D"/>
    <w:rsid w:val="00E40444"/>
    <w:rsid w:val="00E40C1B"/>
    <w:rsid w:val="00E43DD2"/>
    <w:rsid w:val="00E4601D"/>
    <w:rsid w:val="00E5535E"/>
    <w:rsid w:val="00E57047"/>
    <w:rsid w:val="00E570CC"/>
    <w:rsid w:val="00E57BDA"/>
    <w:rsid w:val="00E605EA"/>
    <w:rsid w:val="00E60F9F"/>
    <w:rsid w:val="00E64FBD"/>
    <w:rsid w:val="00E653BD"/>
    <w:rsid w:val="00E65706"/>
    <w:rsid w:val="00E65962"/>
    <w:rsid w:val="00E6598B"/>
    <w:rsid w:val="00E65E00"/>
    <w:rsid w:val="00E66027"/>
    <w:rsid w:val="00E66899"/>
    <w:rsid w:val="00E74525"/>
    <w:rsid w:val="00E759D7"/>
    <w:rsid w:val="00E775EA"/>
    <w:rsid w:val="00E84D3F"/>
    <w:rsid w:val="00E84E42"/>
    <w:rsid w:val="00E86A7E"/>
    <w:rsid w:val="00E87ECF"/>
    <w:rsid w:val="00E926FA"/>
    <w:rsid w:val="00E943E5"/>
    <w:rsid w:val="00E9585B"/>
    <w:rsid w:val="00EA27C5"/>
    <w:rsid w:val="00EA3790"/>
    <w:rsid w:val="00EA41E9"/>
    <w:rsid w:val="00EA5E03"/>
    <w:rsid w:val="00EB00CD"/>
    <w:rsid w:val="00EB10CE"/>
    <w:rsid w:val="00EB1E4E"/>
    <w:rsid w:val="00EB1FA3"/>
    <w:rsid w:val="00EB2029"/>
    <w:rsid w:val="00EB2EBE"/>
    <w:rsid w:val="00EB7D48"/>
    <w:rsid w:val="00EC088D"/>
    <w:rsid w:val="00EC25A8"/>
    <w:rsid w:val="00EC34EA"/>
    <w:rsid w:val="00EC5799"/>
    <w:rsid w:val="00EC5E56"/>
    <w:rsid w:val="00ED3B0D"/>
    <w:rsid w:val="00ED55BB"/>
    <w:rsid w:val="00ED6001"/>
    <w:rsid w:val="00EE0327"/>
    <w:rsid w:val="00EE0DDA"/>
    <w:rsid w:val="00EE1511"/>
    <w:rsid w:val="00EE1BF5"/>
    <w:rsid w:val="00EE1F4D"/>
    <w:rsid w:val="00EE2AF3"/>
    <w:rsid w:val="00EE38E9"/>
    <w:rsid w:val="00EE418D"/>
    <w:rsid w:val="00EF2F73"/>
    <w:rsid w:val="00EF3144"/>
    <w:rsid w:val="00EF526A"/>
    <w:rsid w:val="00EF52F0"/>
    <w:rsid w:val="00EF5462"/>
    <w:rsid w:val="00EF5630"/>
    <w:rsid w:val="00EF750C"/>
    <w:rsid w:val="00F02F3F"/>
    <w:rsid w:val="00F04BB1"/>
    <w:rsid w:val="00F055EA"/>
    <w:rsid w:val="00F05DED"/>
    <w:rsid w:val="00F05F75"/>
    <w:rsid w:val="00F0622E"/>
    <w:rsid w:val="00F07D42"/>
    <w:rsid w:val="00F134C8"/>
    <w:rsid w:val="00F16533"/>
    <w:rsid w:val="00F16933"/>
    <w:rsid w:val="00F17B22"/>
    <w:rsid w:val="00F2084D"/>
    <w:rsid w:val="00F20B32"/>
    <w:rsid w:val="00F24945"/>
    <w:rsid w:val="00F24CF7"/>
    <w:rsid w:val="00F3201C"/>
    <w:rsid w:val="00F32527"/>
    <w:rsid w:val="00F32701"/>
    <w:rsid w:val="00F32D77"/>
    <w:rsid w:val="00F33217"/>
    <w:rsid w:val="00F33996"/>
    <w:rsid w:val="00F351A2"/>
    <w:rsid w:val="00F35693"/>
    <w:rsid w:val="00F376F6"/>
    <w:rsid w:val="00F42317"/>
    <w:rsid w:val="00F44F66"/>
    <w:rsid w:val="00F468F5"/>
    <w:rsid w:val="00F52880"/>
    <w:rsid w:val="00F5519A"/>
    <w:rsid w:val="00F55646"/>
    <w:rsid w:val="00F55A01"/>
    <w:rsid w:val="00F612E4"/>
    <w:rsid w:val="00F62A33"/>
    <w:rsid w:val="00F63DFA"/>
    <w:rsid w:val="00F64622"/>
    <w:rsid w:val="00F64C94"/>
    <w:rsid w:val="00F74211"/>
    <w:rsid w:val="00F757F1"/>
    <w:rsid w:val="00F75B76"/>
    <w:rsid w:val="00F9127B"/>
    <w:rsid w:val="00F9199C"/>
    <w:rsid w:val="00FA0633"/>
    <w:rsid w:val="00FA2130"/>
    <w:rsid w:val="00FA343B"/>
    <w:rsid w:val="00FA6A1C"/>
    <w:rsid w:val="00FB057B"/>
    <w:rsid w:val="00FB3259"/>
    <w:rsid w:val="00FB3D3B"/>
    <w:rsid w:val="00FB42EC"/>
    <w:rsid w:val="00FB7F5C"/>
    <w:rsid w:val="00FB7FFB"/>
    <w:rsid w:val="00FC0977"/>
    <w:rsid w:val="00FC0C4B"/>
    <w:rsid w:val="00FC2752"/>
    <w:rsid w:val="00FC4425"/>
    <w:rsid w:val="00FC4B4F"/>
    <w:rsid w:val="00FC52AA"/>
    <w:rsid w:val="00FC57C5"/>
    <w:rsid w:val="00FC59F9"/>
    <w:rsid w:val="00FC66D8"/>
    <w:rsid w:val="00FD025F"/>
    <w:rsid w:val="00FD3085"/>
    <w:rsid w:val="00FD65E7"/>
    <w:rsid w:val="00FD6720"/>
    <w:rsid w:val="00FD680D"/>
    <w:rsid w:val="00FE14D5"/>
    <w:rsid w:val="00FE1A0F"/>
    <w:rsid w:val="00FE31FC"/>
    <w:rsid w:val="00FE4EB7"/>
    <w:rsid w:val="00FE65E6"/>
    <w:rsid w:val="00FF27C5"/>
    <w:rsid w:val="00FF508F"/>
    <w:rsid w:val="00FF50AC"/>
    <w:rsid w:val="00FF6B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31145,#fffddf,#ffecd6"/>
    </o:shapedefaults>
    <o:shapelayout v:ext="edit">
      <o:idmap v:ext="edit" data="1"/>
    </o:shapelayout>
  </w:shapeDefaults>
  <w:decimalSymbol w:val="."/>
  <w:listSeparator w:val=","/>
  <w15:docId w15:val="{FFC49D89-5F30-403F-8636-300540C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757">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43491178">
      <w:bodyDiv w:val="1"/>
      <w:marLeft w:val="0"/>
      <w:marRight w:val="0"/>
      <w:marTop w:val="0"/>
      <w:marBottom w:val="0"/>
      <w:divBdr>
        <w:top w:val="none" w:sz="0" w:space="0" w:color="auto"/>
        <w:left w:val="none" w:sz="0" w:space="0" w:color="auto"/>
        <w:bottom w:val="none" w:sz="0" w:space="0" w:color="auto"/>
        <w:right w:val="none" w:sz="0" w:space="0" w:color="auto"/>
      </w:divBdr>
    </w:div>
    <w:div w:id="269821521">
      <w:bodyDiv w:val="1"/>
      <w:marLeft w:val="0"/>
      <w:marRight w:val="0"/>
      <w:marTop w:val="0"/>
      <w:marBottom w:val="0"/>
      <w:divBdr>
        <w:top w:val="none" w:sz="0" w:space="0" w:color="auto"/>
        <w:left w:val="none" w:sz="0" w:space="0" w:color="auto"/>
        <w:bottom w:val="none" w:sz="0" w:space="0" w:color="auto"/>
        <w:right w:val="none" w:sz="0" w:space="0" w:color="auto"/>
      </w:divBdr>
    </w:div>
    <w:div w:id="393625881">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739448246">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87543029">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37624436">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724022095">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4E52-9FB8-4F65-BF60-5B0200A9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9</TotalTime>
  <Pages>12</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18666</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dc:description/>
  <cp:lastModifiedBy>Evenson, Maya</cp:lastModifiedBy>
  <cp:revision>4</cp:revision>
  <cp:lastPrinted>2016-01-12T10:25:00Z</cp:lastPrinted>
  <dcterms:created xsi:type="dcterms:W3CDTF">2016-01-12T09:58:00Z</dcterms:created>
  <dcterms:modified xsi:type="dcterms:W3CDTF">2016-01-12T11:03:00Z</dcterms:modified>
</cp:coreProperties>
</file>